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37327D" w14:textId="02F21F2C" w:rsidR="00E32ABE" w:rsidRDefault="008A7327" w:rsidP="00262A59">
      <w:pPr>
        <w:pStyle w:val="Title"/>
      </w:pPr>
      <w:r>
        <w:t xml:space="preserve">Insiemi </w:t>
      </w:r>
      <w:r w:rsidR="00262A59">
        <w:t>numerici</w:t>
      </w:r>
    </w:p>
    <w:p w14:paraId="5A98BAD4" w14:textId="77777777" w:rsidR="00262A59" w:rsidRDefault="00262A59" w:rsidP="00262A59">
      <w:pPr>
        <w:pStyle w:val="Heading1"/>
      </w:pPr>
      <w:r>
        <w:t xml:space="preserve">Numeri naturali </w:t>
      </w:r>
      <m:oMath>
        <m:r>
          <m:rPr>
            <m:scr m:val="double-struck"/>
            <m:sty m:val="bi"/>
          </m:rPr>
          <w:rPr>
            <w:rFonts w:ascii="Cambria Math" w:hAnsi="Cambria Math"/>
          </w:rPr>
          <m:t>N</m:t>
        </m:r>
      </m:oMath>
    </w:p>
    <w:p w14:paraId="3044338E" w14:textId="77777777" w:rsidR="00262A59" w:rsidRDefault="00262A59" w:rsidP="00262A59">
      <w:r>
        <w:t>Numeri interi positivi o nulli.</w:t>
      </w:r>
    </w:p>
    <w:p w14:paraId="4FBC7BE3" w14:textId="66523F4C" w:rsidR="00262A59" w:rsidRDefault="00262A59" w:rsidP="00262A59">
      <m:oMathPara>
        <m:oMath>
          <m:r>
            <m:rPr>
              <m:scr m:val="double-struck"/>
            </m:rPr>
            <w:rPr>
              <w:rFonts w:ascii="Cambria Math" w:hAnsi="Cambria Math"/>
            </w:rPr>
            <m:t>N</m:t>
          </m:r>
          <m:r>
            <w:rPr>
              <w:rFonts w:ascii="Cambria Math" w:hAnsi="Cambria Math"/>
            </w:rPr>
            <m:t>={0,1,2,3,4…}</m:t>
          </m:r>
        </m:oMath>
      </m:oMathPara>
    </w:p>
    <w:p w14:paraId="59DD6A4A" w14:textId="656F86CF" w:rsidR="008A7327" w:rsidRDefault="008A7327" w:rsidP="00262A59">
      <w:pPr>
        <w:pStyle w:val="Heading1"/>
      </w:pPr>
      <w:r>
        <w:t xml:space="preserve">Numeri relativi </w:t>
      </w:r>
      <m:oMath>
        <m:r>
          <m:rPr>
            <m:scr m:val="double-struck"/>
            <m:sty m:val="bi"/>
          </m:rPr>
          <w:rPr>
            <w:rFonts w:ascii="Cambria Math" w:hAnsi="Cambria Math"/>
          </w:rPr>
          <m:t>Z</m:t>
        </m:r>
      </m:oMath>
    </w:p>
    <w:p w14:paraId="02938D31" w14:textId="13D17F83" w:rsidR="008A7327" w:rsidRDefault="008A7327" w:rsidP="008A7327">
      <w:r>
        <w:t>Numeri interi dotati di segno.</w:t>
      </w:r>
    </w:p>
    <w:p w14:paraId="1FA92C9D" w14:textId="6DBC27DD" w:rsidR="008A7327" w:rsidRDefault="008A7327" w:rsidP="008A7327">
      <m:oMathPara>
        <m:oMath>
          <m:r>
            <m:rPr>
              <m:scr m:val="double-struck"/>
            </m:rPr>
            <w:rPr>
              <w:rFonts w:ascii="Cambria Math" w:hAnsi="Cambria Math"/>
            </w:rPr>
            <m:t>Z</m:t>
          </m:r>
          <m:r>
            <w:rPr>
              <w:rFonts w:ascii="Cambria Math" w:hAnsi="Cambria Math"/>
            </w:rPr>
            <m:t>={0,±1,±2, ±, …}</m:t>
          </m:r>
        </m:oMath>
      </m:oMathPara>
    </w:p>
    <w:p w14:paraId="7145A271" w14:textId="50C707CA" w:rsidR="008A7327" w:rsidRDefault="008A7327" w:rsidP="008A7327">
      <w:pPr>
        <w:pStyle w:val="Heading1"/>
      </w:pPr>
      <w:r>
        <w:t xml:space="preserve">Numeri razionali </w:t>
      </w:r>
      <m:oMath>
        <m:r>
          <m:rPr>
            <m:scr m:val="double-struck"/>
            <m:sty m:val="bi"/>
          </m:rPr>
          <w:rPr>
            <w:rFonts w:ascii="Cambria Math" w:hAnsi="Cambria Math"/>
          </w:rPr>
          <m:t>Q</m:t>
        </m:r>
      </m:oMath>
    </w:p>
    <w:p w14:paraId="68C3EFBD" w14:textId="69B4935E" w:rsidR="00BD78AF" w:rsidRPr="00BD78AF" w:rsidRDefault="00BD78AF" w:rsidP="00BD78AF">
      <w:r>
        <w:t xml:space="preserve">Sono i numeri della forma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</m:oMath>
      <w:r>
        <w:t xml:space="preserve"> con </w:t>
      </w:r>
      <m:oMath>
        <m:r>
          <w:rPr>
            <w:rFonts w:ascii="Cambria Math" w:hAnsi="Cambria Math"/>
          </w:rPr>
          <m:t>a</m:t>
        </m:r>
        <m:r>
          <w:rPr>
            <w:rFonts w:ascii="Cambria Math" w:hAnsi="Cambria Math" w:hint="eastAsia"/>
          </w:rPr>
          <m:t>∈</m:t>
        </m:r>
        <m:r>
          <m:rPr>
            <m:scr m:val="double-struck"/>
          </m:rPr>
          <w:rPr>
            <w:rFonts w:ascii="Cambria Math" w:hAnsi="Cambria Math"/>
          </w:rPr>
          <m:t>N</m:t>
        </m:r>
        <m:r>
          <w:rPr>
            <w:rFonts w:ascii="Cambria Math" w:hAnsi="Cambria Math" w:hint="eastAsia"/>
          </w:rPr>
          <m:t>∧</m:t>
        </m:r>
        <m:r>
          <w:rPr>
            <w:rFonts w:ascii="Cambria Math" w:hAnsi="Cambria Math"/>
          </w:rPr>
          <m:t>b</m:t>
        </m:r>
        <m:r>
          <w:rPr>
            <w:rFonts w:ascii="Cambria Math" w:hAnsi="Cambria Math" w:hint="eastAsia"/>
          </w:rPr>
          <m:t>∈</m:t>
        </m:r>
        <m:r>
          <m:rPr>
            <m:scr m:val="double-struck"/>
          </m:rPr>
          <w:rPr>
            <w:rFonts w:ascii="Cambria Math" w:hAnsi="Cambria Math"/>
          </w:rPr>
          <m:t>N∖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</m:oMath>
      <w:r>
        <w:t xml:space="preserve"> e sono definite le operazioni di somma e moltiplicazione. (per la sottrazione basta considerare la somma con un numero negativo, per la divisione è la moltiplicazione per l’inverso dell’altro)</w:t>
      </w:r>
    </w:p>
    <w:p w14:paraId="7E829EAE" w14:textId="64952386" w:rsidR="008A7327" w:rsidRDefault="00BD78AF" w:rsidP="008A7327">
      <w:r>
        <w:t>In pratica è l’i</w:t>
      </w:r>
      <w:r w:rsidR="008A7327">
        <w:t>nsieme di numeri che possono essere espressi come frazione.</w:t>
      </w:r>
    </w:p>
    <w:p w14:paraId="1775CD27" w14:textId="11800409" w:rsidR="008A7327" w:rsidRPr="00800F23" w:rsidRDefault="008A7327" w:rsidP="008A7327">
      <m:oMathPara>
        <m:oMath>
          <m:r>
            <m:rPr>
              <m:scr m:val="double-struck"/>
            </m:rPr>
            <w:rPr>
              <w:rFonts w:ascii="Cambria Math" w:hAnsi="Cambria Math"/>
            </w:rPr>
            <m:t>Q={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m</m:t>
              </m:r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  <m:r>
            <w:rPr>
              <w:rFonts w:ascii="Cambria Math" w:hAnsi="Cambria Math"/>
            </w:rPr>
            <m:t>|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m,n</m:t>
              </m:r>
              <m:r>
                <w:rPr>
                  <w:rFonts w:ascii="Cambria Math" w:hAnsi="Cambria Math" w:hint="eastAsia"/>
                </w:rPr>
                <m:t>∈</m:t>
              </m:r>
              <m:r>
                <m:rPr>
                  <m:scr m:val="double-struck"/>
                </m:rPr>
                <w:rPr>
                  <w:rFonts w:ascii="Cambria Math" w:hAnsi="Cambria Math"/>
                </w:rPr>
                <m:t>N</m:t>
              </m:r>
            </m:e>
          </m:d>
          <m:r>
            <w:rPr>
              <w:rFonts w:ascii="Cambria Math" w:hAnsi="Cambria Math"/>
            </w:rPr>
            <m:t>∧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n</m:t>
              </m:r>
              <m:r>
                <w:rPr>
                  <w:rFonts w:ascii="Cambria Math" w:hAnsi="Cambria Math" w:hint="eastAsia"/>
                </w:rPr>
                <m:t>≠</m:t>
              </m:r>
              <m:r>
                <w:rPr>
                  <w:rFonts w:ascii="Cambria Math" w:hAnsi="Cambria Math"/>
                </w:rPr>
                <m:t>0</m:t>
              </m:r>
            </m:e>
          </m:d>
          <m:r>
            <w:rPr>
              <w:rFonts w:ascii="Cambria Math" w:hAnsi="Cambria Math"/>
            </w:rPr>
            <m:t>}</m:t>
          </m:r>
        </m:oMath>
      </m:oMathPara>
    </w:p>
    <w:p w14:paraId="006F6139" w14:textId="077789A0" w:rsidR="00800F23" w:rsidRDefault="00800F23" w:rsidP="00800F23">
      <w:pPr>
        <w:pStyle w:val="Heading2"/>
      </w:pPr>
      <w:r>
        <w:t>Somma</w:t>
      </w:r>
    </w:p>
    <w:p w14:paraId="4BF169E0" w14:textId="5561F972" w:rsidR="00800F23" w:rsidRPr="00800F23" w:rsidRDefault="00800F23" w:rsidP="00800F23">
      <w:pPr>
        <w:rPr>
          <w:rFonts w:asciiTheme="majorHAnsi" w:eastAsiaTheme="majorEastAsia" w:hAnsiTheme="majorHAnsi" w:cstheme="majorBidi"/>
        </w:rPr>
      </w:pPr>
      <m:oMathPara>
        <m:oMathParaPr>
          <m:jc m:val="left"/>
        </m:oMathParaPr>
        <m:oMath>
          <m:r>
            <m:rPr>
              <m:scr m:val="double-struck"/>
            </m:rPr>
            <w:rPr>
              <w:rFonts w:ascii="Cambria Math" w:hAnsi="Cambria Math"/>
            </w:rPr>
            <m:t>+|Q×Q</m:t>
          </m:r>
          <m:r>
            <w:rPr>
              <w:rFonts w:ascii="Cambria Math" w:hAnsi="Cambria Math" w:hint="eastAsia"/>
            </w:rPr>
            <m:t>→</m:t>
          </m:r>
          <m:r>
            <m:rPr>
              <m:scr m:val="double-struck"/>
            </m:rPr>
            <w:rPr>
              <w:rFonts w:ascii="Cambria Math" w:hAnsi="Cambria Math"/>
            </w:rPr>
            <m:t>Q</m:t>
          </m:r>
        </m:oMath>
      </m:oMathPara>
    </w:p>
    <w:p w14:paraId="51CC1F86" w14:textId="421F3050" w:rsidR="00800F23" w:rsidRDefault="00800F23" w:rsidP="00800F23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Va inteso come coppia di numeri, non come tutte le possibilità.</w:t>
      </w:r>
    </w:p>
    <w:p w14:paraId="418D3285" w14:textId="77777777" w:rsidR="00800F23" w:rsidRDefault="00800F23" w:rsidP="00800F23">
      <w:pPr>
        <w:rPr>
          <w:rFonts w:asciiTheme="majorHAnsi" w:eastAsiaTheme="majorEastAsia" w:hAnsiTheme="majorHAnsi" w:cstheme="majorBidi"/>
        </w:rPr>
      </w:pPr>
    </w:p>
    <w:p w14:paraId="60D800C4" w14:textId="374BDD3A" w:rsidR="00800F23" w:rsidRDefault="00800F23" w:rsidP="00800F23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Proprietà:</w:t>
      </w:r>
    </w:p>
    <w:p w14:paraId="28BEB5A9" w14:textId="440A0079" w:rsidR="00800F23" w:rsidRDefault="00800F23" w:rsidP="00800F23">
      <w:pPr>
        <w:pStyle w:val="ListParagraph"/>
        <w:numPr>
          <w:ilvl w:val="0"/>
          <w:numId w:val="1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Associativa</w:t>
      </w:r>
    </w:p>
    <w:p w14:paraId="13411D34" w14:textId="5CF8ADBC" w:rsidR="00800F23" w:rsidRDefault="00800F23" w:rsidP="00800F23">
      <w:pPr>
        <w:pStyle w:val="ListParagraph"/>
        <w:numPr>
          <w:ilvl w:val="0"/>
          <w:numId w:val="1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Commutativa</w:t>
      </w:r>
    </w:p>
    <w:p w14:paraId="4EC0FEB8" w14:textId="6F37973A" w:rsidR="00800F23" w:rsidRPr="00800F23" w:rsidRDefault="00800F23" w:rsidP="00800F23">
      <w:pPr>
        <w:rPr>
          <w:rFonts w:asciiTheme="majorHAnsi" w:eastAsiaTheme="majorEastAsia" w:hAnsiTheme="majorHAnsi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 w:hint="eastAsia"/>
            </w:rPr>
            <m:t>∃</m:t>
          </m:r>
          <m:r>
            <w:rPr>
              <w:rFonts w:ascii="Cambria Math" w:eastAsiaTheme="majorEastAsia" w:hAnsi="Cambria Math" w:cstheme="majorBidi"/>
            </w:rPr>
            <m:t xml:space="preserve"> elemento neutro</m:t>
          </m:r>
          <m:r>
            <w:rPr>
              <w:rFonts w:ascii="Cambria Math" w:eastAsiaTheme="majorEastAsia" w:hAnsi="Cambria Math" w:cstheme="majorBidi" w:hint="eastAsia"/>
            </w:rPr>
            <m:t>→</m:t>
          </m:r>
          <m:r>
            <w:rPr>
              <w:rFonts w:ascii="Cambria Math" w:eastAsiaTheme="majorEastAsia" w:hAnsi="Cambria Math" w:cstheme="majorBidi"/>
            </w:rPr>
            <m:t xml:space="preserve">0 | x+0=x </m:t>
          </m:r>
          <m:r>
            <w:rPr>
              <w:rFonts w:ascii="Cambria Math" w:eastAsiaTheme="majorEastAsia" w:hAnsi="Cambria Math" w:cstheme="majorBidi" w:hint="eastAsia"/>
            </w:rPr>
            <m:t>∀</m:t>
          </m:r>
          <m:r>
            <w:rPr>
              <w:rFonts w:ascii="Cambria Math" w:eastAsiaTheme="majorEastAsia" w:hAnsi="Cambria Math" w:cstheme="majorBidi"/>
            </w:rPr>
            <m:t>x</m:t>
          </m:r>
          <m:r>
            <w:rPr>
              <w:rFonts w:ascii="Cambria Math" w:eastAsiaTheme="majorEastAsia" w:hAnsi="Cambria Math" w:cstheme="majorBidi" w:hint="eastAsia"/>
            </w:rPr>
            <m:t>∈</m:t>
          </m:r>
          <m:r>
            <m:rPr>
              <m:scr m:val="double-struck"/>
            </m:rPr>
            <w:rPr>
              <w:rFonts w:ascii="Cambria Math" w:eastAsiaTheme="majorEastAsia" w:hAnsi="Cambria Math" w:cstheme="majorBidi"/>
            </w:rPr>
            <m:t>Q</m:t>
          </m:r>
        </m:oMath>
      </m:oMathPara>
    </w:p>
    <w:p w14:paraId="7EE81E98" w14:textId="384FA106" w:rsidR="00800F23" w:rsidRPr="00EA68F3" w:rsidRDefault="00800F23" w:rsidP="00800F23">
      <w:pPr>
        <w:rPr>
          <w:rFonts w:asciiTheme="majorHAnsi" w:eastAsiaTheme="majorEastAsia" w:hAnsiTheme="majorHAnsi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 w:hint="eastAsia"/>
            </w:rPr>
            <m:t>∃</m:t>
          </m:r>
          <m:r>
            <w:rPr>
              <w:rFonts w:ascii="Cambria Math" w:eastAsiaTheme="majorEastAsia" w:hAnsi="Cambria Math" w:cstheme="majorBidi"/>
            </w:rPr>
            <m:t xml:space="preserve"> opposto </m:t>
          </m:r>
          <m:r>
            <w:rPr>
              <w:rFonts w:ascii="Cambria Math" w:eastAsiaTheme="majorEastAsia" w:hAnsi="Cambria Math" w:cstheme="majorBidi" w:hint="eastAsia"/>
            </w:rPr>
            <m:t>∀</m:t>
          </m:r>
          <m:r>
            <w:rPr>
              <w:rFonts w:ascii="Cambria Math" w:eastAsiaTheme="majorEastAsia" w:hAnsi="Cambria Math" w:cs="Cambria Math"/>
            </w:rPr>
            <m:t>x</m:t>
          </m:r>
          <m:r>
            <w:rPr>
              <w:rFonts w:ascii="Cambria Math" w:eastAsiaTheme="majorEastAsia" w:hAnsi="Cambria Math" w:cstheme="majorBidi" w:hint="eastAsia"/>
            </w:rPr>
            <m:t>∈</m:t>
          </m:r>
          <m:r>
            <m:rPr>
              <m:scr m:val="double-struck"/>
            </m:rPr>
            <w:rPr>
              <w:rFonts w:ascii="Cambria Math" w:eastAsiaTheme="majorEastAsia" w:hAnsi="Cambria Math" w:cstheme="majorBidi"/>
            </w:rPr>
            <m:t xml:space="preserve">Q </m:t>
          </m:r>
          <m:r>
            <w:rPr>
              <w:rFonts w:ascii="Cambria Math" w:eastAsiaTheme="majorEastAsia" w:hAnsi="Cambria Math" w:cstheme="majorBidi" w:hint="eastAsia"/>
            </w:rPr>
            <m:t>∃</m:t>
          </m:r>
          <m:r>
            <w:rPr>
              <w:rFonts w:ascii="Cambria Math" w:eastAsiaTheme="majorEastAsia" w:hAnsi="Cambria Math" w:cstheme="majorBidi"/>
            </w:rPr>
            <m:t>y</m:t>
          </m:r>
          <m:r>
            <w:rPr>
              <w:rFonts w:ascii="Cambria Math" w:eastAsiaTheme="majorEastAsia" w:hAnsi="Cambria Math" w:cstheme="majorBidi" w:hint="eastAsia"/>
            </w:rPr>
            <m:t>∈</m:t>
          </m:r>
          <m:r>
            <m:rPr>
              <m:scr m:val="double-struck"/>
            </m:rPr>
            <w:rPr>
              <w:rFonts w:ascii="Cambria Math" w:eastAsiaTheme="majorEastAsia" w:hAnsi="Cambria Math" w:cstheme="majorBidi"/>
            </w:rPr>
            <m:t xml:space="preserve">Q </m:t>
          </m:r>
          <m:r>
            <w:rPr>
              <w:rFonts w:ascii="Cambria Math" w:eastAsiaTheme="majorEastAsia" w:hAnsi="Cambria Math" w:cstheme="majorBidi"/>
            </w:rPr>
            <m:t>y=-x | x+y=0</m:t>
          </m:r>
        </m:oMath>
      </m:oMathPara>
    </w:p>
    <w:p w14:paraId="0A63B6A1" w14:textId="2E62024D" w:rsidR="00EA68F3" w:rsidRDefault="00EA68F3" w:rsidP="00EA68F3">
      <w:pPr>
        <w:pStyle w:val="Heading3"/>
      </w:pPr>
      <w:r>
        <w:t>Moltiplicazione</w:t>
      </w:r>
    </w:p>
    <w:p w14:paraId="00FF0637" w14:textId="13FF427E" w:rsidR="00EA68F3" w:rsidRPr="00EA68F3" w:rsidRDefault="00EA68F3" w:rsidP="00EA68F3">
      <m:oMathPara>
        <m:oMathParaPr>
          <m:jc m:val="left"/>
        </m:oMathParaPr>
        <m:oMath>
          <m:r>
            <m:rPr>
              <m:scr m:val="double-struck"/>
            </m:rPr>
            <w:rPr>
              <w:rFonts w:ascii="Cambria Math" w:hAnsi="Cambria Math"/>
            </w:rPr>
            <m:t>⋅|Q×Q</m:t>
          </m:r>
          <m:r>
            <w:rPr>
              <w:rFonts w:ascii="Cambria Math" w:hAnsi="Cambria Math" w:hint="eastAsia"/>
            </w:rPr>
            <m:t>→</m:t>
          </m:r>
          <m:r>
            <m:rPr>
              <m:scr m:val="double-struck"/>
            </m:rPr>
            <w:rPr>
              <w:rFonts w:ascii="Cambria Math" w:hAnsi="Cambria Math"/>
            </w:rPr>
            <m:t>Q</m:t>
          </m:r>
        </m:oMath>
      </m:oMathPara>
    </w:p>
    <w:p w14:paraId="04195E20" w14:textId="77777777" w:rsidR="00EA68F3" w:rsidRDefault="00EA68F3" w:rsidP="00EA68F3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Proprietà:</w:t>
      </w:r>
    </w:p>
    <w:p w14:paraId="5C3CB249" w14:textId="77777777" w:rsidR="00EA68F3" w:rsidRDefault="00EA68F3" w:rsidP="00EA68F3">
      <w:pPr>
        <w:pStyle w:val="ListParagraph"/>
        <w:numPr>
          <w:ilvl w:val="0"/>
          <w:numId w:val="1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Associativa</w:t>
      </w:r>
    </w:p>
    <w:p w14:paraId="1825FAF6" w14:textId="73A3B801" w:rsidR="00EA68F3" w:rsidRDefault="00EA68F3" w:rsidP="00EA68F3">
      <w:pPr>
        <w:pStyle w:val="ListParagraph"/>
        <w:numPr>
          <w:ilvl w:val="0"/>
          <w:numId w:val="1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Commutativa</w:t>
      </w:r>
    </w:p>
    <w:p w14:paraId="7B24AD00" w14:textId="559699AE" w:rsidR="00EA68F3" w:rsidRPr="00EA68F3" w:rsidRDefault="00EA68F3" w:rsidP="00EA68F3">
      <w:pPr>
        <w:pStyle w:val="ListParagraph"/>
        <w:numPr>
          <w:ilvl w:val="0"/>
          <w:numId w:val="1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Distributiva</w:t>
      </w:r>
    </w:p>
    <w:p w14:paraId="53DFDFE1" w14:textId="5E37F023" w:rsidR="00EA68F3" w:rsidRPr="00800F23" w:rsidRDefault="00EA68F3" w:rsidP="00EA68F3">
      <w:pPr>
        <w:rPr>
          <w:rFonts w:asciiTheme="majorHAnsi" w:eastAsiaTheme="majorEastAsia" w:hAnsiTheme="majorHAnsi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 w:hint="eastAsia"/>
            </w:rPr>
            <m:t>∃</m:t>
          </m:r>
          <m:r>
            <w:rPr>
              <w:rFonts w:ascii="Cambria Math" w:eastAsiaTheme="majorEastAsia" w:hAnsi="Cambria Math" w:cstheme="majorBidi"/>
            </w:rPr>
            <m:t xml:space="preserve"> elemento neutro</m:t>
          </m:r>
          <m:r>
            <w:rPr>
              <w:rFonts w:ascii="Cambria Math" w:eastAsiaTheme="majorEastAsia" w:hAnsi="Cambria Math" w:cstheme="majorBidi" w:hint="eastAsia"/>
            </w:rPr>
            <m:t>→</m:t>
          </m:r>
          <m:r>
            <w:rPr>
              <w:rFonts w:ascii="Cambria Math" w:eastAsiaTheme="majorEastAsia" w:hAnsi="Cambria Math" w:cstheme="majorBidi"/>
            </w:rPr>
            <m:t xml:space="preserve">1 | x⋅1=x </m:t>
          </m:r>
          <m:r>
            <w:rPr>
              <w:rFonts w:ascii="Cambria Math" w:eastAsiaTheme="majorEastAsia" w:hAnsi="Cambria Math" w:cstheme="majorBidi" w:hint="eastAsia"/>
            </w:rPr>
            <m:t>∀</m:t>
          </m:r>
          <m:r>
            <w:rPr>
              <w:rFonts w:ascii="Cambria Math" w:eastAsiaTheme="majorEastAsia" w:hAnsi="Cambria Math" w:cstheme="majorBidi"/>
            </w:rPr>
            <m:t>x</m:t>
          </m:r>
          <m:r>
            <w:rPr>
              <w:rFonts w:ascii="Cambria Math" w:eastAsiaTheme="majorEastAsia" w:hAnsi="Cambria Math" w:cstheme="majorBidi" w:hint="eastAsia"/>
            </w:rPr>
            <m:t>∈</m:t>
          </m:r>
          <m:r>
            <m:rPr>
              <m:scr m:val="double-struck"/>
            </m:rPr>
            <w:rPr>
              <w:rFonts w:ascii="Cambria Math" w:eastAsiaTheme="majorEastAsia" w:hAnsi="Cambria Math" w:cstheme="majorBidi"/>
            </w:rPr>
            <m:t>Q</m:t>
          </m:r>
        </m:oMath>
      </m:oMathPara>
    </w:p>
    <w:p w14:paraId="66B549DF" w14:textId="73B672FA" w:rsidR="00EA68F3" w:rsidRPr="00EA68F3" w:rsidRDefault="00EA68F3" w:rsidP="00EA68F3">
      <w:pPr>
        <w:rPr>
          <w:rFonts w:asciiTheme="majorHAnsi" w:eastAsiaTheme="majorEastAsia" w:hAnsiTheme="majorHAnsi" w:cstheme="majorBidi"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theme="majorBidi" w:hint="eastAsia"/>
            </w:rPr>
            <m:t>∃</m:t>
          </m:r>
          <m:r>
            <w:rPr>
              <w:rFonts w:ascii="Cambria Math" w:eastAsiaTheme="majorEastAsia" w:hAnsi="Cambria Math" w:cstheme="majorBidi"/>
            </w:rPr>
            <m:t xml:space="preserve"> opposto </m:t>
          </m:r>
          <m:r>
            <w:rPr>
              <w:rFonts w:ascii="Cambria Math" w:eastAsiaTheme="majorEastAsia" w:hAnsi="Cambria Math" w:cstheme="majorBidi" w:hint="eastAsia"/>
            </w:rPr>
            <m:t>∀</m:t>
          </m:r>
          <m:r>
            <w:rPr>
              <w:rFonts w:ascii="Cambria Math" w:eastAsiaTheme="majorEastAsia" w:hAnsi="Cambria Math" w:cstheme="majorBidi"/>
            </w:rPr>
            <m:t>x</m:t>
          </m:r>
          <m:r>
            <w:rPr>
              <w:rFonts w:ascii="Cambria Math" w:eastAsiaTheme="majorEastAsia" w:hAnsi="Cambria Math" w:cstheme="majorBidi" w:hint="eastAsia"/>
            </w:rPr>
            <m:t>∈</m:t>
          </m:r>
          <m:r>
            <m:rPr>
              <m:scr m:val="double-struck"/>
            </m:rPr>
            <w:rPr>
              <w:rFonts w:ascii="Cambria Math" w:eastAsiaTheme="majorEastAsia" w:hAnsi="Cambria Math" w:cstheme="majorBidi"/>
            </w:rPr>
            <m:t>Q∖</m:t>
          </m:r>
          <m:r>
            <w:rPr>
              <w:rFonts w:ascii="Cambria Math" w:eastAsiaTheme="majorEastAsia" w:hAnsi="Cambria Math" w:cstheme="majorBidi"/>
            </w:rPr>
            <m:t xml:space="preserve">{0} </m:t>
          </m:r>
          <m:r>
            <w:rPr>
              <w:rFonts w:ascii="Cambria Math" w:eastAsiaTheme="majorEastAsia" w:hAnsi="Cambria Math" w:cstheme="majorBidi" w:hint="eastAsia"/>
            </w:rPr>
            <m:t>∃</m:t>
          </m:r>
          <m:r>
            <w:rPr>
              <w:rFonts w:ascii="Cambria Math" w:eastAsiaTheme="majorEastAsia" w:hAnsi="Cambria Math" w:cstheme="majorBidi"/>
            </w:rPr>
            <m:t>y</m:t>
          </m:r>
          <m:r>
            <w:rPr>
              <w:rFonts w:ascii="Cambria Math" w:eastAsiaTheme="majorEastAsia" w:hAnsi="Cambria Math" w:cstheme="majorBidi" w:hint="eastAsia"/>
            </w:rPr>
            <m:t>∈</m:t>
          </m:r>
          <m:r>
            <m:rPr>
              <m:scr m:val="double-struck"/>
            </m:rPr>
            <w:rPr>
              <w:rFonts w:ascii="Cambria Math" w:eastAsiaTheme="majorEastAsia" w:hAnsi="Cambria Math" w:cstheme="majorBidi"/>
            </w:rPr>
            <m:t xml:space="preserve">Q </m:t>
          </m:r>
          <m:r>
            <w:rPr>
              <w:rFonts w:ascii="Cambria Math" w:eastAsiaTheme="majorEastAsia" w:hAnsi="Cambria Math" w:cstheme="majorBidi"/>
            </w:rPr>
            <m:t>y=</m:t>
          </m:r>
          <m:f>
            <m:fPr>
              <m:ctrlPr>
                <w:rPr>
                  <w:rFonts w:ascii="Cambria Math" w:eastAsiaTheme="maj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ajorEastAsia" w:hAnsi="Cambria Math" w:cstheme="majorBidi"/>
                </w:rPr>
                <m:t>1</m:t>
              </m:r>
            </m:num>
            <m:den>
              <m:r>
                <w:rPr>
                  <w:rFonts w:ascii="Cambria Math" w:eastAsiaTheme="majorEastAsia" w:hAnsi="Cambria Math" w:cstheme="majorBidi"/>
                </w:rPr>
                <m:t>x</m:t>
              </m:r>
            </m:den>
          </m:f>
          <m:r>
            <w:rPr>
              <w:rFonts w:ascii="Cambria Math" w:eastAsiaTheme="majorEastAsia" w:hAnsi="Cambria Math" w:cstheme="majorBidi"/>
            </w:rPr>
            <m:t xml:space="preserve"> | x⋅y=1</m:t>
          </m:r>
        </m:oMath>
      </m:oMathPara>
    </w:p>
    <w:p w14:paraId="3965E957" w14:textId="6A89EC08" w:rsidR="00EA68F3" w:rsidRDefault="007C2673" w:rsidP="00EA68F3">
      <w:pPr>
        <w:pStyle w:val="Heading3"/>
      </w:pPr>
      <w:r>
        <w:t>Relazione d’o</w:t>
      </w:r>
      <w:r w:rsidR="00EA68F3">
        <w:t>rdine totale</w:t>
      </w:r>
      <w:r w:rsidR="006E7F6E">
        <w:t xml:space="preserve"> </w:t>
      </w:r>
      <m:oMath>
        <m:r>
          <m:rPr>
            <m:sty m:val="bi"/>
          </m:rPr>
          <w:rPr>
            <w:rFonts w:ascii="Cambria Math" w:hAnsi="Cambria Math"/>
          </w:rPr>
          <m:t>≤</m:t>
        </m:r>
      </m:oMath>
    </w:p>
    <w:p w14:paraId="68D7615C" w14:textId="4FD4724C" w:rsidR="008C1420" w:rsidRPr="008C1420" w:rsidRDefault="008C1420" w:rsidP="008C1420">
      <w:r>
        <w:t xml:space="preserve">Si usa per confrontare o ordinare elementi appartenenti a </w:t>
      </w:r>
      <m:oMath>
        <m:r>
          <m:rPr>
            <m:scr m:val="double-struck"/>
          </m:rPr>
          <w:rPr>
            <w:rFonts w:ascii="Cambria Math" w:hAnsi="Cambria Math"/>
          </w:rPr>
          <m:t>Q</m:t>
        </m:r>
      </m:oMath>
      <w:r>
        <w:t xml:space="preserve">. </w:t>
      </w:r>
      <m:oMath>
        <m:r>
          <w:rPr>
            <w:rFonts w:ascii="Cambria Math" w:hAnsi="Cambria Math" w:hint="eastAsia"/>
          </w:rPr>
          <m:t>∀</m:t>
        </m:r>
        <m:r>
          <w:rPr>
            <w:rFonts w:ascii="Cambria Math" w:hAnsi="Cambria Math"/>
          </w:rPr>
          <m:t>x,y</m:t>
        </m:r>
        <m:r>
          <w:rPr>
            <w:rFonts w:ascii="Cambria Math" w:hAnsi="Cambria Math" w:hint="eastAsia"/>
          </w:rPr>
          <m:t>∈</m:t>
        </m:r>
        <m:r>
          <m:rPr>
            <m:scr m:val="double-struck"/>
          </m:rPr>
          <w:rPr>
            <w:rFonts w:ascii="Cambria Math" w:hAnsi="Cambria Math"/>
          </w:rPr>
          <m:t>Q</m:t>
        </m:r>
      </m:oMath>
      <w:r>
        <w:t xml:space="preserve"> vale solo uno dei casi: </w:t>
      </w:r>
      <m:oMath>
        <m:r>
          <w:rPr>
            <w:rFonts w:ascii="Cambria Math" w:hAnsi="Cambria Math"/>
          </w:rPr>
          <m:t xml:space="preserve">x&lt;y </m:t>
        </m:r>
        <m:acc>
          <m:accPr>
            <m:chr m:val="̇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 w:hint="eastAsia"/>
              </w:rPr>
              <m:t>∨</m:t>
            </m:r>
          </m:e>
        </m:acc>
        <m:r>
          <w:rPr>
            <w:rFonts w:ascii="Cambria Math" w:hAnsi="Cambria Math"/>
          </w:rPr>
          <m:t xml:space="preserve"> x=y</m:t>
        </m:r>
        <m:acc>
          <m:accPr>
            <m:chr m:val="̇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 w:hint="eastAsia"/>
              </w:rPr>
              <m:t>∨</m:t>
            </m:r>
          </m:e>
        </m:acc>
        <m:r>
          <w:rPr>
            <w:rFonts w:ascii="Cambria Math" w:hAnsi="Cambria Math"/>
          </w:rPr>
          <m:t>x&gt;y</m:t>
        </m:r>
      </m:oMath>
    </w:p>
    <w:p w14:paraId="77656870" w14:textId="7F9413FB" w:rsidR="008C1420" w:rsidRPr="008C1420" w:rsidRDefault="008C1420" w:rsidP="008C1420">
      <w:pPr>
        <w:pStyle w:val="ListParagraph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x≤y</m:t>
          </m:r>
          <m:r>
            <w:rPr>
              <w:rFonts w:ascii="Cambria Math" w:hAnsi="Cambria Math" w:hint="eastAsia"/>
            </w:rPr>
            <m:t>⇔</m:t>
          </m:r>
          <m:r>
            <w:rPr>
              <w:rFonts w:ascii="Cambria Math" w:hAnsi="Cambria Math"/>
            </w:rPr>
            <m:t xml:space="preserve">0≤y-x </m:t>
          </m:r>
          <m:r>
            <w:rPr>
              <w:rFonts w:ascii="Cambria Math" w:hAnsi="Cambria Math" w:hint="eastAsia"/>
            </w:rPr>
            <m:t>∀</m:t>
          </m:r>
          <m:r>
            <w:rPr>
              <w:rFonts w:ascii="Cambria Math" w:hAnsi="Cambria Math"/>
            </w:rPr>
            <m:t>x,y</m:t>
          </m:r>
          <m:r>
            <w:rPr>
              <w:rFonts w:ascii="Cambria Math" w:hAnsi="Cambria Math" w:hint="eastAsia"/>
            </w:rPr>
            <m:t>∈</m:t>
          </m:r>
          <m:r>
            <m:rPr>
              <m:scr m:val="double-struck"/>
            </m:rPr>
            <w:rPr>
              <w:rFonts w:ascii="Cambria Math" w:hAnsi="Cambria Math"/>
            </w:rPr>
            <m:t>Q</m:t>
          </m:r>
        </m:oMath>
      </m:oMathPara>
    </w:p>
    <w:p w14:paraId="4EDEBD70" w14:textId="3DD4DAC6" w:rsidR="008C1420" w:rsidRDefault="008C1420" w:rsidP="008C1420">
      <w:pPr>
        <w:pStyle w:val="Heading3"/>
      </w:pPr>
      <w:r>
        <w:t>Assiomi</w:t>
      </w:r>
    </w:p>
    <w:p w14:paraId="52165557" w14:textId="6061461C" w:rsidR="008C1420" w:rsidRPr="008C1420" w:rsidRDefault="00773FB4" w:rsidP="008C1420">
      <w:pPr>
        <w:pStyle w:val="ListParagraph"/>
        <w:numPr>
          <w:ilvl w:val="0"/>
          <w:numId w:val="3"/>
        </w:numPr>
      </w:pPr>
      <m:oMath>
        <m:r>
          <w:rPr>
            <w:rFonts w:ascii="Cambria Math" w:hAnsi="Cambria Math"/>
          </w:rPr>
          <m:t>a≤b</m:t>
        </m:r>
        <m:r>
          <w:rPr>
            <w:rFonts w:ascii="Cambria Math" w:hAnsi="Cambria Math" w:hint="eastAsia"/>
          </w:rPr>
          <m:t>∧</m:t>
        </m:r>
        <m:r>
          <w:rPr>
            <w:rFonts w:ascii="Cambria Math" w:hAnsi="Cambria Math"/>
          </w:rPr>
          <m:t>c</m:t>
        </m:r>
        <m:r>
          <w:rPr>
            <w:rFonts w:ascii="Cambria Math" w:hAnsi="Cambria Math" w:hint="eastAsia"/>
          </w:rPr>
          <m:t>∈</m:t>
        </m:r>
        <m:r>
          <m:rPr>
            <m:scr m:val="double-struck"/>
          </m:rPr>
          <w:rPr>
            <w:rFonts w:ascii="Cambria Math" w:hAnsi="Cambria Math"/>
          </w:rPr>
          <m:t>Q</m:t>
        </m:r>
        <m:r>
          <w:rPr>
            <w:rFonts w:ascii="Cambria Math" w:hAnsi="Cambria Math" w:hint="eastAsia"/>
          </w:rPr>
          <m:t>⇒</m:t>
        </m:r>
        <m:r>
          <w:rPr>
            <w:rFonts w:ascii="Cambria Math" w:hAnsi="Cambria Math"/>
          </w:rPr>
          <m:t>a+c≤b+c</m:t>
        </m:r>
      </m:oMath>
    </w:p>
    <w:p w14:paraId="29E74621" w14:textId="3F2A7A16" w:rsidR="008C1420" w:rsidRDefault="00773FB4" w:rsidP="008C1420">
      <w:pPr>
        <w:pStyle w:val="ListParagraph"/>
        <w:numPr>
          <w:ilvl w:val="0"/>
          <w:numId w:val="3"/>
        </w:numPr>
      </w:pPr>
      <m:oMath>
        <m:r>
          <w:rPr>
            <w:rFonts w:ascii="Cambria Math" w:hAnsi="Cambria Math"/>
          </w:rPr>
          <m:t>a≤b</m:t>
        </m:r>
        <m:r>
          <w:rPr>
            <w:rFonts w:ascii="Cambria Math" w:hAnsi="Cambria Math" w:hint="eastAsia"/>
          </w:rPr>
          <m:t>∧</m:t>
        </m:r>
        <m:r>
          <w:rPr>
            <w:rFonts w:ascii="Cambria Math" w:hAnsi="Cambria Math"/>
          </w:rPr>
          <m:t>c≥0</m:t>
        </m:r>
        <m:r>
          <w:rPr>
            <w:rFonts w:ascii="Cambria Math" w:hAnsi="Cambria Math" w:hint="eastAsia"/>
          </w:rPr>
          <m:t>⇒</m:t>
        </m:r>
        <m:r>
          <w:rPr>
            <w:rFonts w:ascii="Cambria Math" w:hAnsi="Cambria Math"/>
          </w:rPr>
          <m:t>a⋅c≤b⋅c</m:t>
        </m:r>
      </m:oMath>
    </w:p>
    <w:p w14:paraId="0147772C" w14:textId="5C42A2A4" w:rsidR="00773FB4" w:rsidRPr="00773FB4" w:rsidRDefault="00773FB4" w:rsidP="00773FB4">
      <w:pPr>
        <w:rPr>
          <w:rStyle w:val="Emphasis"/>
        </w:rPr>
      </w:pPr>
      <w:r>
        <w:rPr>
          <w:rStyle w:val="Emphasis"/>
        </w:rPr>
        <w:lastRenderedPageBreak/>
        <w:t>Dimostrazione</w:t>
      </w:r>
    </w:p>
    <w:p w14:paraId="2308B98D" w14:textId="3277BECB" w:rsidR="00773FB4" w:rsidRDefault="00773FB4" w:rsidP="00773FB4">
      <w:pPr>
        <w:rPr>
          <w:iCs/>
        </w:rPr>
      </w:pPr>
      <w:r>
        <w:rPr>
          <w:iCs/>
        </w:rPr>
        <w:t xml:space="preserve">Dimostrare che </w:t>
      </w:r>
      <m:oMath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 w:hint="eastAsia"/>
          </w:rPr>
          <m:t>∧</m:t>
        </m:r>
        <m:r>
          <w:rPr>
            <w:rFonts w:ascii="Cambria Math" w:hAnsi="Cambria Math"/>
          </w:rPr>
          <m:t>z</m:t>
        </m:r>
        <m:r>
          <m:rPr>
            <m:sty m:val="p"/>
          </m:rPr>
          <w:rPr>
            <w:rFonts w:ascii="Cambria Math" w:hAnsi="Cambria Math"/>
          </w:rPr>
          <m:t>≤0</m:t>
        </m:r>
        <m:r>
          <m:rPr>
            <m:sty m:val="p"/>
          </m:rPr>
          <w:rPr>
            <w:rFonts w:ascii="Cambria Math" w:hAnsi="Cambria Math" w:hint="eastAsia"/>
          </w:rPr>
          <m:t>⇒</m:t>
        </m:r>
        <m:r>
          <w:rPr>
            <w:rFonts w:ascii="Cambria Math" w:hAnsi="Cambria Math"/>
          </w:rPr>
          <m:t>zx</m:t>
        </m:r>
        <m:r>
          <m:rPr>
            <m:sty m:val="p"/>
          </m:rPr>
          <w:rPr>
            <w:rFonts w:ascii="Cambria Math" w:hAnsi="Cambria Math"/>
          </w:rPr>
          <m:t>≥</m:t>
        </m:r>
        <m:r>
          <w:rPr>
            <w:rFonts w:ascii="Cambria Math" w:hAnsi="Cambria Math"/>
          </w:rPr>
          <m:t>zy</m:t>
        </m:r>
      </m:oMath>
    </w:p>
    <w:p w14:paraId="3953A037" w14:textId="5DDE66BD" w:rsidR="00773FB4" w:rsidRDefault="00773FB4" w:rsidP="00773FB4">
      <w:r>
        <w:t xml:space="preserve">Per le proprietà di ordine </w:t>
      </w:r>
      <m:oMath>
        <m:r>
          <w:rPr>
            <w:rFonts w:ascii="Cambria Math" w:hAnsi="Cambria Math"/>
          </w:rPr>
          <m:t>a≤b, c</m:t>
        </m:r>
        <m:r>
          <w:rPr>
            <w:rFonts w:ascii="Cambria Math" w:hAnsi="Cambria Math" w:hint="eastAsia"/>
          </w:rPr>
          <m:t>∈</m:t>
        </m:r>
        <m:r>
          <m:rPr>
            <m:scr m:val="double-struck"/>
          </m:rPr>
          <w:rPr>
            <w:rFonts w:ascii="Cambria Math" w:hAnsi="Cambria Math"/>
          </w:rPr>
          <m:t>R</m:t>
        </m:r>
        <m:r>
          <w:rPr>
            <w:rFonts w:ascii="Cambria Math" w:hAnsi="Cambria Math" w:hint="eastAsia"/>
          </w:rPr>
          <m:t>⇒</m:t>
        </m:r>
        <m:r>
          <w:rPr>
            <w:rFonts w:ascii="Cambria Math" w:hAnsi="Cambria Math"/>
          </w:rPr>
          <m:t>a+c≤b+c</m:t>
        </m:r>
      </m:oMath>
      <w:r>
        <w:t xml:space="preserve">, </w:t>
      </w:r>
      <w:r w:rsidR="00995201">
        <w:t xml:space="preserve">  </w:t>
      </w:r>
      <m:oMath>
        <m:r>
          <w:rPr>
            <w:rFonts w:ascii="Cambria Math" w:hAnsi="Cambria Math"/>
          </w:rPr>
          <m:t>a≤b,c≥0</m:t>
        </m:r>
        <m:r>
          <w:rPr>
            <w:rFonts w:ascii="Cambria Math" w:hAnsi="Cambria Math" w:hint="eastAsia"/>
          </w:rPr>
          <m:t>⇒</m:t>
        </m:r>
        <m:r>
          <w:rPr>
            <w:rFonts w:ascii="Cambria Math" w:hAnsi="Cambria Math"/>
          </w:rPr>
          <m:t>a⋅c≤b⋅c</m:t>
        </m:r>
      </m:oMath>
    </w:p>
    <w:p w14:paraId="35B5641C" w14:textId="104A8A16" w:rsidR="00773FB4" w:rsidRPr="00995201" w:rsidRDefault="00995201" w:rsidP="00773FB4">
      <m:oMathPara>
        <m:oMathParaPr>
          <m:jc m:val="left"/>
        </m:oMathParaPr>
        <m:oMath>
          <m:r>
            <w:rPr>
              <w:rFonts w:ascii="Cambria Math" w:hAnsi="Cambria Math"/>
            </w:rPr>
            <m:t>z≤0</m:t>
          </m:r>
          <m:r>
            <w:rPr>
              <w:rFonts w:ascii="Cambria Math" w:hAnsi="Cambria Math" w:hint="eastAsia"/>
            </w:rPr>
            <m:t>⇒</m:t>
          </m:r>
          <m:r>
            <w:rPr>
              <w:rFonts w:ascii="Cambria Math" w:hAnsi="Cambria Math"/>
            </w:rPr>
            <m:t>-z≥0</m:t>
          </m:r>
        </m:oMath>
      </m:oMathPara>
    </w:p>
    <w:p w14:paraId="5CAF6292" w14:textId="2329E0D3" w:rsidR="00995201" w:rsidRPr="00995201" w:rsidRDefault="00995201" w:rsidP="00773FB4">
      <m:oMath>
        <m:r>
          <w:rPr>
            <w:rFonts w:ascii="Cambria Math" w:hAnsi="Cambria Math"/>
          </w:rPr>
          <m:t>x≤y</m:t>
        </m:r>
        <m:r>
          <w:rPr>
            <w:rFonts w:ascii="Cambria Math" w:hAnsi="Cambria Math" w:hint="eastAsia"/>
          </w:rPr>
          <m:t>∧</m:t>
        </m:r>
        <m:r>
          <w:rPr>
            <w:rFonts w:ascii="Cambria Math" w:hAnsi="Cambria Math"/>
          </w:rPr>
          <m:t>-z≥0</m:t>
        </m:r>
        <m:r>
          <w:rPr>
            <w:rFonts w:ascii="Cambria Math" w:hAnsi="Cambria Math" w:hint="eastAsia"/>
          </w:rPr>
          <m:t>⇒</m:t>
        </m:r>
        <m:r>
          <w:rPr>
            <w:rFonts w:ascii="Cambria Math" w:hAnsi="Cambria Math"/>
          </w:rPr>
          <m:t>-zx≤-zy</m:t>
        </m:r>
      </m:oMath>
      <w:r>
        <w:t xml:space="preserve"> </w:t>
      </w:r>
      <w:r>
        <w:tab/>
      </w:r>
      <w:r>
        <w:tab/>
        <w:t>Applicazione dell’assioma</w:t>
      </w:r>
    </w:p>
    <w:p w14:paraId="019FA018" w14:textId="14E7EDE8" w:rsidR="00995201" w:rsidRPr="00995201" w:rsidRDefault="00995201" w:rsidP="00773FB4">
      <m:oMathPara>
        <m:oMathParaPr>
          <m:jc m:val="left"/>
        </m:oMathParaPr>
        <m:oMath>
          <m:r>
            <w:rPr>
              <w:rFonts w:ascii="Cambria Math" w:hAnsi="Cambria Math"/>
            </w:rPr>
            <m:t>0≤zx-zy</m:t>
          </m:r>
          <m:r>
            <w:rPr>
              <w:rFonts w:ascii="Cambria Math" w:hAnsi="Cambria Math" w:hint="eastAsia"/>
            </w:rPr>
            <m:t>→</m:t>
          </m:r>
          <m:r>
            <w:rPr>
              <w:rFonts w:ascii="Cambria Math" w:hAnsi="Cambria Math"/>
            </w:rPr>
            <m:t>zy≤zx</m:t>
          </m:r>
          <m:r>
            <w:rPr>
              <w:rFonts w:ascii="Cambria Math" w:hAnsi="Cambria Math" w:hint="eastAsia"/>
            </w:rPr>
            <m:t>→</m:t>
          </m:r>
          <m:r>
            <w:rPr>
              <w:rFonts w:ascii="Cambria Math" w:hAnsi="Cambria Math"/>
            </w:rPr>
            <m:t>zx≥zy</m:t>
          </m:r>
        </m:oMath>
      </m:oMathPara>
    </w:p>
    <w:p w14:paraId="6D522265" w14:textId="77777777" w:rsidR="00773FB4" w:rsidRPr="00773FB4" w:rsidRDefault="00773FB4" w:rsidP="00773FB4"/>
    <w:p w14:paraId="09B3F019" w14:textId="00317ACC" w:rsidR="008A7327" w:rsidRPr="008A7327" w:rsidRDefault="008A7327" w:rsidP="008A7327">
      <w:pPr>
        <w:pStyle w:val="Heading1"/>
      </w:pPr>
      <w:r>
        <w:t xml:space="preserve">Numeri reali </w:t>
      </w:r>
      <m:oMath>
        <m:r>
          <m:rPr>
            <m:scr m:val="double-struck"/>
            <m:sty m:val="bi"/>
          </m:rPr>
          <w:rPr>
            <w:rFonts w:ascii="Cambria Math" w:hAnsi="Cambria Math"/>
          </w:rPr>
          <m:t>R</m:t>
        </m:r>
      </m:oMath>
    </w:p>
    <w:p w14:paraId="7F51847D" w14:textId="278765A0" w:rsidR="00BD78AF" w:rsidRDefault="00BD78AF" w:rsidP="008A7327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È l’insieme numerico che soddisfa l’assioma di </w:t>
      </w:r>
      <w:r w:rsidRPr="00BD78AF">
        <w:rPr>
          <w:rFonts w:asciiTheme="majorHAnsi" w:eastAsiaTheme="majorEastAsia" w:hAnsiTheme="majorHAnsi" w:cstheme="majorBidi"/>
          <w:b/>
        </w:rPr>
        <w:t>Dedekind</w:t>
      </w:r>
      <w:r>
        <w:rPr>
          <w:rFonts w:asciiTheme="majorHAnsi" w:eastAsiaTheme="majorEastAsia" w:hAnsiTheme="majorHAnsi" w:cstheme="majorBidi"/>
        </w:rPr>
        <w:t xml:space="preserve"> (completezza) insieme a tutti gli assiomi dei numeri razionali.</w:t>
      </w:r>
    </w:p>
    <w:p w14:paraId="6FA1A6C2" w14:textId="77777777" w:rsidR="00BD78AF" w:rsidRPr="00BD78AF" w:rsidRDefault="00BD78AF" w:rsidP="008A7327">
      <w:pPr>
        <w:rPr>
          <w:rFonts w:asciiTheme="majorHAnsi" w:eastAsiaTheme="majorEastAsia" w:hAnsiTheme="majorHAnsi" w:cstheme="majorBidi"/>
        </w:rPr>
      </w:pPr>
    </w:p>
    <w:p w14:paraId="3B4E8587" w14:textId="6CC46614" w:rsidR="00203CFA" w:rsidRDefault="00BD78AF" w:rsidP="008A7327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Sono n</w:t>
      </w:r>
      <w:r w:rsidR="008A7327">
        <w:rPr>
          <w:rFonts w:asciiTheme="majorHAnsi" w:eastAsiaTheme="majorEastAsia" w:hAnsiTheme="majorHAnsi" w:cstheme="majorBidi"/>
        </w:rPr>
        <w:t>umeri ai quali si può attribuire uno sviluppo decimale finito o infinito. Possono essere positivi, negativi o nulli, comprendono numeri interi, razionali, irrazionali, trascendenti.</w:t>
      </w:r>
      <w:r>
        <w:rPr>
          <w:rFonts w:asciiTheme="majorHAnsi" w:eastAsiaTheme="majorEastAsia" w:hAnsiTheme="majorHAnsi" w:cstheme="majorBidi"/>
        </w:rPr>
        <w:t xml:space="preserve"> Possono avere anche</w:t>
      </w:r>
      <w:r w:rsidR="00203CFA">
        <w:rPr>
          <w:rFonts w:asciiTheme="majorHAnsi" w:eastAsiaTheme="majorEastAsia" w:hAnsiTheme="majorHAnsi" w:cstheme="majorBidi"/>
        </w:rPr>
        <w:t xml:space="preserve"> una rappresentazione decimale illimitata ma non periodica.</w:t>
      </w:r>
    </w:p>
    <w:p w14:paraId="2A068E4C" w14:textId="104E97A9" w:rsidR="00C72AAC" w:rsidRDefault="008A7327" w:rsidP="008A7327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Fanno parte di </w:t>
      </w:r>
      <m:oMath>
        <m:r>
          <m:rPr>
            <m:scr m:val="double-struck"/>
          </m:rPr>
          <w:rPr>
            <w:rFonts w:ascii="Cambria Math" w:eastAsiaTheme="majorEastAsia" w:hAnsi="Cambria Math" w:cstheme="majorBidi"/>
          </w:rPr>
          <m:t xml:space="preserve">R </m:t>
        </m:r>
        <m:r>
          <w:rPr>
            <w:rFonts w:ascii="Cambria Math" w:eastAsiaTheme="majorEastAsia" w:hAnsi="Cambria Math" w:cstheme="majorBidi"/>
          </w:rPr>
          <m:t xml:space="preserve">e, π, </m:t>
        </m:r>
        <m:rad>
          <m:radPr>
            <m:degHide m:val="1"/>
            <m:ctrlPr>
              <w:rPr>
                <w:rFonts w:ascii="Cambria Math" w:eastAsiaTheme="majorEastAsia" w:hAnsi="Cambria Math" w:cstheme="majorBidi"/>
                <w:i/>
              </w:rPr>
            </m:ctrlPr>
          </m:radPr>
          <m:deg/>
          <m:e>
            <m:r>
              <w:rPr>
                <w:rFonts w:ascii="Cambria Math" w:eastAsiaTheme="majorEastAsia" w:hAnsi="Cambria Math" w:cstheme="majorBidi"/>
              </w:rPr>
              <m:t>2</m:t>
            </m:r>
          </m:e>
        </m:rad>
      </m:oMath>
      <w:r w:rsidR="009770AC">
        <w:rPr>
          <w:rFonts w:asciiTheme="majorHAnsi" w:eastAsiaTheme="majorEastAsia" w:hAnsiTheme="majorHAnsi" w:cstheme="majorBidi"/>
        </w:rPr>
        <w:t xml:space="preserve">. I numeri reali si possono solo approssimare trasformandoli in numeri razionali, altrimenti vanno utilizzati con notazioni più astratte o nella loro forma originale (per esempio </w:t>
      </w:r>
      <m:oMath>
        <m:rad>
          <m:radPr>
            <m:degHide m:val="1"/>
            <m:ctrlPr>
              <w:rPr>
                <w:rFonts w:ascii="Cambria Math" w:eastAsiaTheme="majorEastAsia" w:hAnsi="Cambria Math" w:cstheme="majorBidi"/>
                <w:i/>
              </w:rPr>
            </m:ctrlPr>
          </m:radPr>
          <m:deg/>
          <m:e>
            <m:r>
              <w:rPr>
                <w:rFonts w:ascii="Cambria Math" w:eastAsiaTheme="majorEastAsia" w:hAnsi="Cambria Math" w:cstheme="majorBidi"/>
              </w:rPr>
              <m:t>2</m:t>
            </m:r>
          </m:e>
        </m:rad>
      </m:oMath>
      <w:r w:rsidR="009770AC">
        <w:rPr>
          <w:rFonts w:asciiTheme="majorHAnsi" w:eastAsiaTheme="majorEastAsia" w:hAnsiTheme="majorHAnsi" w:cstheme="majorBidi"/>
        </w:rPr>
        <w:t>).</w:t>
      </w:r>
    </w:p>
    <w:p w14:paraId="458CF6B1" w14:textId="77777777" w:rsidR="00BD78AF" w:rsidRDefault="00BD78AF" w:rsidP="008A7327">
      <w:pPr>
        <w:rPr>
          <w:rFonts w:asciiTheme="majorHAnsi" w:eastAsiaTheme="majorEastAsia" w:hAnsiTheme="majorHAnsi" w:cstheme="majorBidi"/>
        </w:rPr>
      </w:pPr>
    </w:p>
    <w:p w14:paraId="7501D85F" w14:textId="6307DA1D" w:rsidR="00F35AD7" w:rsidRDefault="00F35AD7" w:rsidP="008A7327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I numeri reali possono essere </w:t>
      </w:r>
      <w:r w:rsidRPr="00F35AD7">
        <w:rPr>
          <w:rFonts w:asciiTheme="majorHAnsi" w:eastAsiaTheme="majorEastAsia" w:hAnsiTheme="majorHAnsi" w:cstheme="majorBidi"/>
          <w:b/>
        </w:rPr>
        <w:t>irrazionali</w:t>
      </w:r>
      <w:r>
        <w:rPr>
          <w:rFonts w:asciiTheme="majorHAnsi" w:eastAsiaTheme="majorEastAsia" w:hAnsiTheme="majorHAnsi" w:cstheme="majorBidi"/>
        </w:rPr>
        <w:t xml:space="preserve"> (quindi non fanno parte di </w:t>
      </w:r>
      <m:oMath>
        <m:r>
          <m:rPr>
            <m:scr m:val="double-struck"/>
          </m:rPr>
          <w:rPr>
            <w:rFonts w:ascii="Cambria Math" w:eastAsiaTheme="majorEastAsia" w:hAnsi="Cambria Math" w:cstheme="majorBidi"/>
          </w:rPr>
          <m:t>Q</m:t>
        </m:r>
      </m:oMath>
      <w:r>
        <w:rPr>
          <w:rFonts w:asciiTheme="majorHAnsi" w:eastAsiaTheme="majorEastAsia" w:hAnsiTheme="majorHAnsi" w:cstheme="majorBidi"/>
        </w:rPr>
        <w:t xml:space="preserve">, la espansione decimale è infinita e non periodica) e anche </w:t>
      </w:r>
      <w:r w:rsidRPr="00F35AD7">
        <w:rPr>
          <w:rFonts w:asciiTheme="majorHAnsi" w:eastAsiaTheme="majorEastAsia" w:hAnsiTheme="majorHAnsi" w:cstheme="majorBidi"/>
          <w:b/>
        </w:rPr>
        <w:t>trascendenti</w:t>
      </w:r>
      <w:r>
        <w:rPr>
          <w:rFonts w:asciiTheme="majorHAnsi" w:eastAsiaTheme="majorEastAsia" w:hAnsiTheme="majorHAnsi" w:cstheme="majorBidi"/>
        </w:rPr>
        <w:t xml:space="preserve"> (numero irrazionale che non è algebrico)</w:t>
      </w:r>
    </w:p>
    <w:p w14:paraId="524F2776" w14:textId="458AA298" w:rsidR="00C72AAC" w:rsidRDefault="00C72AAC" w:rsidP="00C72AAC">
      <w:pPr>
        <w:pStyle w:val="Heading1"/>
      </w:pPr>
      <w:r>
        <w:t xml:space="preserve">Numeri immaginari </w:t>
      </w:r>
      <m:oMath>
        <m:r>
          <m:rPr>
            <m:scr m:val="double-struck"/>
            <m:sty m:val="bi"/>
          </m:rPr>
          <w:rPr>
            <w:rFonts w:ascii="Cambria Math" w:hAnsi="Cambria Math"/>
          </w:rPr>
          <m:t>I</m:t>
        </m:r>
      </m:oMath>
    </w:p>
    <w:p w14:paraId="728C6D6B" w14:textId="149080E0" w:rsidR="00C72AAC" w:rsidRDefault="00C72AAC" w:rsidP="00C72AAC">
      <w:r>
        <w:t xml:space="preserve">Una estensione dei numeri reali nata per consentire di trovare tutte le soluzioni a equazioni polinomiali. Si usa </w:t>
      </w:r>
      <m:oMath>
        <m:r>
          <w:rPr>
            <w:rFonts w:ascii="Cambria Math" w:hAnsi="Cambria Math"/>
          </w:rPr>
          <m:t>i</m:t>
        </m:r>
      </m:oMath>
      <w:r>
        <w:t xml:space="preserve"> come unità immaginaria, tale che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=-1</m:t>
        </m:r>
      </m:oMath>
      <w:r>
        <w:t xml:space="preserve"> (impossibile).</w:t>
      </w:r>
    </w:p>
    <w:p w14:paraId="1454CEDC" w14:textId="6377C8F0" w:rsidR="00C72AAC" w:rsidRPr="00C72AAC" w:rsidRDefault="00C72AAC" w:rsidP="00C72AAC">
      <w:r>
        <w:t xml:space="preserve">Sostituendo alcune parti della equazione con </w:t>
      </w:r>
      <m:oMath>
        <m:r>
          <w:rPr>
            <w:rFonts w:ascii="Cambria Math" w:hAnsi="Cambria Math"/>
          </w:rPr>
          <m:t>i</m:t>
        </m:r>
      </m:oMath>
      <w:r>
        <w:t xml:space="preserve"> e poi rimettendo il valore originale, si riesce ad arrivare alla soluzione.</w:t>
      </w:r>
    </w:p>
    <w:p w14:paraId="1BC770B0" w14:textId="63789EE4" w:rsidR="008A7327" w:rsidRDefault="008A7327" w:rsidP="008A7327">
      <w:pPr>
        <w:pStyle w:val="Heading1"/>
      </w:pPr>
      <w:r>
        <w:t>Sistemi di numerazione</w:t>
      </w:r>
    </w:p>
    <w:p w14:paraId="4D3ACA88" w14:textId="3000F203" w:rsidR="008A7327" w:rsidRDefault="00BE3999" w:rsidP="00C72AAC">
      <w:r>
        <w:t xml:space="preserve">Si intende il modo di esprimere e rappresentare dei numeri attraverso un insieme di simboli. Un sistema di numerazione può essere </w:t>
      </w:r>
      <w:r>
        <w:rPr>
          <w:b/>
        </w:rPr>
        <w:t>posizionale</w:t>
      </w:r>
      <w:r>
        <w:t xml:space="preserve"> quando ogni carattere assume un significato diverso a seconda della sua posizione (numeri arabi) e </w:t>
      </w:r>
      <w:r>
        <w:rPr>
          <w:b/>
        </w:rPr>
        <w:t>additivo</w:t>
      </w:r>
      <w:r>
        <w:t xml:space="preserve"> quando invece il numero è espresso da una somma dei caratteri che lo caratterizzano (numeri romani).</w:t>
      </w:r>
      <w:r w:rsidR="00C72AAC">
        <w:t xml:space="preserve"> I numeri immaginari si indicano seguendo </w:t>
      </w:r>
      <m:oMath>
        <m:r>
          <w:rPr>
            <w:rFonts w:ascii="Cambria Math" w:hAnsi="Cambria Math"/>
          </w:rPr>
          <m:t>i</m:t>
        </m:r>
      </m:oMath>
      <w:r w:rsidR="00C72AAC">
        <w:t xml:space="preserve"> al numero.</w:t>
      </w:r>
    </w:p>
    <w:p w14:paraId="257488B7" w14:textId="02AD9FF0" w:rsidR="008A7327" w:rsidRDefault="008A7327" w:rsidP="008A7327">
      <w:pPr>
        <w:pStyle w:val="Heading1"/>
      </w:pPr>
      <w:r>
        <w:t>Basi di numerazione</w:t>
      </w:r>
    </w:p>
    <w:p w14:paraId="447157AC" w14:textId="5A6674DD" w:rsidR="00240A38" w:rsidRDefault="00240A38" w:rsidP="00240A38">
      <w:r>
        <w:t>Per base numerica si intende il numero di cifre distinte incluso lo 0, che il sistema usa per rappresentare i numeri. Si usa nel sistema di numerazione posizionale per determinare quante cifre usare in una posizione.</w:t>
      </w:r>
    </w:p>
    <w:p w14:paraId="279E3826" w14:textId="77777777" w:rsidR="00240A38" w:rsidRDefault="00240A38" w:rsidP="00240A38"/>
    <w:p w14:paraId="7BDCD8ED" w14:textId="441DD4A4" w:rsidR="00240A38" w:rsidRDefault="00240A38" w:rsidP="00240A38">
      <w:r>
        <w:t>La base di numerazione comunemente usate è 10, quindi le cifre vanno da 0 a 9, dopodichè si utilizza la posizione successiva nel numero (per esempio dopo 9 viene 10, si usa la posizione delle decine).</w:t>
      </w:r>
    </w:p>
    <w:p w14:paraId="715AD156" w14:textId="42895313" w:rsidR="00240A38" w:rsidRDefault="00240A38" w:rsidP="00240A38">
      <w:r>
        <w:t>Nel sistema esadecimale si conta da 1 a 16, per poi passare alla cifra successiva, quindi da 0 a F. Per esempio F3A0 corrisponde a 62368 in decimale.</w:t>
      </w:r>
    </w:p>
    <w:p w14:paraId="32996A21" w14:textId="77777777" w:rsidR="00240A38" w:rsidRPr="00240A38" w:rsidRDefault="00240A38" w:rsidP="00240A38"/>
    <w:sectPr w:rsidR="00240A38" w:rsidRPr="00240A38" w:rsidSect="00E32A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97A09D" w14:textId="77777777" w:rsidR="002A1BB6" w:rsidRDefault="002A1BB6" w:rsidP="002A1BB6">
      <w:r>
        <w:separator/>
      </w:r>
    </w:p>
  </w:endnote>
  <w:endnote w:type="continuationSeparator" w:id="0">
    <w:p w14:paraId="4E6AEEFB" w14:textId="77777777" w:rsidR="002A1BB6" w:rsidRDefault="002A1BB6" w:rsidP="002A1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A05D3C" w14:textId="77777777" w:rsidR="002A1BB6" w:rsidRDefault="002A1BB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91534" w14:textId="73FA2C04" w:rsidR="002A1BB6" w:rsidRDefault="002A1BB6">
    <w:pPr>
      <w:pStyle w:val="Footer"/>
    </w:pPr>
    <w:r w:rsidRPr="002A1BB6">
      <w:t>2014 Mc128k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CBFB59" w14:textId="77777777" w:rsidR="002A1BB6" w:rsidRDefault="002A1BB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54646F" w14:textId="77777777" w:rsidR="002A1BB6" w:rsidRDefault="002A1BB6" w:rsidP="002A1BB6">
      <w:r>
        <w:separator/>
      </w:r>
    </w:p>
  </w:footnote>
  <w:footnote w:type="continuationSeparator" w:id="0">
    <w:p w14:paraId="7F0166F6" w14:textId="77777777" w:rsidR="002A1BB6" w:rsidRDefault="002A1BB6" w:rsidP="002A1BB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C1B76" w14:textId="77777777" w:rsidR="002A1BB6" w:rsidRDefault="002A1BB6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4DC17" w14:textId="77777777" w:rsidR="002A1BB6" w:rsidRDefault="002A1BB6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93E15E" w14:textId="77777777" w:rsidR="002A1BB6" w:rsidRDefault="002A1BB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26386"/>
    <w:multiLevelType w:val="hybridMultilevel"/>
    <w:tmpl w:val="97062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D91FEF"/>
    <w:multiLevelType w:val="hybridMultilevel"/>
    <w:tmpl w:val="BB30C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7171A8"/>
    <w:multiLevelType w:val="hybridMultilevel"/>
    <w:tmpl w:val="F71EE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A59"/>
    <w:rsid w:val="00203CFA"/>
    <w:rsid w:val="00240A38"/>
    <w:rsid w:val="00262A59"/>
    <w:rsid w:val="002A1BB6"/>
    <w:rsid w:val="006E7F6E"/>
    <w:rsid w:val="00773FB4"/>
    <w:rsid w:val="007C2673"/>
    <w:rsid w:val="00800F23"/>
    <w:rsid w:val="008A7327"/>
    <w:rsid w:val="008C1420"/>
    <w:rsid w:val="00932424"/>
    <w:rsid w:val="009770AC"/>
    <w:rsid w:val="00995201"/>
    <w:rsid w:val="00BD78AF"/>
    <w:rsid w:val="00BE3999"/>
    <w:rsid w:val="00C72AAC"/>
    <w:rsid w:val="00E32ABE"/>
    <w:rsid w:val="00EA68F3"/>
    <w:rsid w:val="00F3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E996C6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2A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4396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0F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0F2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2A59"/>
    <w:pPr>
      <w:pBdr>
        <w:bottom w:val="single" w:sz="8" w:space="4" w:color="4E67C8" w:themeColor="accent1"/>
      </w:pBdr>
      <w:spacing w:after="300"/>
      <w:contextualSpacing/>
    </w:pPr>
    <w:rPr>
      <w:rFonts w:asciiTheme="majorHAnsi" w:eastAsiaTheme="majorEastAsia" w:hAnsiTheme="majorHAnsi" w:cstheme="majorBidi"/>
      <w:color w:val="181D3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2A59"/>
    <w:rPr>
      <w:rFonts w:asciiTheme="majorHAnsi" w:eastAsiaTheme="majorEastAsia" w:hAnsiTheme="majorHAnsi" w:cstheme="majorBidi"/>
      <w:color w:val="181D33" w:themeColor="text2" w:themeShade="BF"/>
      <w:spacing w:val="5"/>
      <w:kern w:val="28"/>
      <w:sz w:val="52"/>
      <w:szCs w:val="52"/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262A59"/>
    <w:rPr>
      <w:rFonts w:asciiTheme="majorHAnsi" w:eastAsiaTheme="majorEastAsia" w:hAnsiTheme="majorHAnsi" w:cstheme="majorBidi"/>
      <w:b/>
      <w:bCs/>
      <w:color w:val="2E4396" w:themeColor="accent1" w:themeShade="B5"/>
      <w:sz w:val="32"/>
      <w:szCs w:val="32"/>
      <w:lang w:val="it-IT"/>
    </w:rPr>
  </w:style>
  <w:style w:type="character" w:styleId="PlaceholderText">
    <w:name w:val="Placeholder Text"/>
    <w:basedOn w:val="DefaultParagraphFont"/>
    <w:uiPriority w:val="99"/>
    <w:semiHidden/>
    <w:rsid w:val="00262A5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A5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A59"/>
    <w:rPr>
      <w:rFonts w:ascii="Lucida Grande" w:hAnsi="Lucida Grande" w:cs="Lucida Grande"/>
      <w:sz w:val="18"/>
      <w:szCs w:val="18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800F23"/>
    <w:rPr>
      <w:rFonts w:asciiTheme="majorHAnsi" w:eastAsiaTheme="majorEastAsia" w:hAnsiTheme="majorHAnsi" w:cstheme="majorBidi"/>
      <w:b/>
      <w:bCs/>
      <w:color w:val="4E67C8" w:themeColor="accent1"/>
      <w:sz w:val="26"/>
      <w:szCs w:val="26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rsid w:val="00800F23"/>
    <w:rPr>
      <w:rFonts w:asciiTheme="majorHAnsi" w:eastAsiaTheme="majorEastAsia" w:hAnsiTheme="majorHAnsi" w:cstheme="majorBidi"/>
      <w:b/>
      <w:bCs/>
      <w:color w:val="4E67C8" w:themeColor="accent1"/>
      <w:lang w:val="it-IT"/>
    </w:rPr>
  </w:style>
  <w:style w:type="paragraph" w:styleId="ListParagraph">
    <w:name w:val="List Paragraph"/>
    <w:basedOn w:val="Normal"/>
    <w:uiPriority w:val="34"/>
    <w:qFormat/>
    <w:rsid w:val="00800F2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73FB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A1BB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1BB6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2A1B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1BB6"/>
    <w:rPr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2A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4396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0F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0F2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2A59"/>
    <w:pPr>
      <w:pBdr>
        <w:bottom w:val="single" w:sz="8" w:space="4" w:color="4E67C8" w:themeColor="accent1"/>
      </w:pBdr>
      <w:spacing w:after="300"/>
      <w:contextualSpacing/>
    </w:pPr>
    <w:rPr>
      <w:rFonts w:asciiTheme="majorHAnsi" w:eastAsiaTheme="majorEastAsia" w:hAnsiTheme="majorHAnsi" w:cstheme="majorBidi"/>
      <w:color w:val="181D3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2A59"/>
    <w:rPr>
      <w:rFonts w:asciiTheme="majorHAnsi" w:eastAsiaTheme="majorEastAsia" w:hAnsiTheme="majorHAnsi" w:cstheme="majorBidi"/>
      <w:color w:val="181D33" w:themeColor="text2" w:themeShade="BF"/>
      <w:spacing w:val="5"/>
      <w:kern w:val="28"/>
      <w:sz w:val="52"/>
      <w:szCs w:val="52"/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262A59"/>
    <w:rPr>
      <w:rFonts w:asciiTheme="majorHAnsi" w:eastAsiaTheme="majorEastAsia" w:hAnsiTheme="majorHAnsi" w:cstheme="majorBidi"/>
      <w:b/>
      <w:bCs/>
      <w:color w:val="2E4396" w:themeColor="accent1" w:themeShade="B5"/>
      <w:sz w:val="32"/>
      <w:szCs w:val="32"/>
      <w:lang w:val="it-IT"/>
    </w:rPr>
  </w:style>
  <w:style w:type="character" w:styleId="PlaceholderText">
    <w:name w:val="Placeholder Text"/>
    <w:basedOn w:val="DefaultParagraphFont"/>
    <w:uiPriority w:val="99"/>
    <w:semiHidden/>
    <w:rsid w:val="00262A5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A5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A59"/>
    <w:rPr>
      <w:rFonts w:ascii="Lucida Grande" w:hAnsi="Lucida Grande" w:cs="Lucida Grande"/>
      <w:sz w:val="18"/>
      <w:szCs w:val="18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800F23"/>
    <w:rPr>
      <w:rFonts w:asciiTheme="majorHAnsi" w:eastAsiaTheme="majorEastAsia" w:hAnsiTheme="majorHAnsi" w:cstheme="majorBidi"/>
      <w:b/>
      <w:bCs/>
      <w:color w:val="4E67C8" w:themeColor="accent1"/>
      <w:sz w:val="26"/>
      <w:szCs w:val="26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rsid w:val="00800F23"/>
    <w:rPr>
      <w:rFonts w:asciiTheme="majorHAnsi" w:eastAsiaTheme="majorEastAsia" w:hAnsiTheme="majorHAnsi" w:cstheme="majorBidi"/>
      <w:b/>
      <w:bCs/>
      <w:color w:val="4E67C8" w:themeColor="accent1"/>
      <w:lang w:val="it-IT"/>
    </w:rPr>
  </w:style>
  <w:style w:type="paragraph" w:styleId="ListParagraph">
    <w:name w:val="List Paragraph"/>
    <w:basedOn w:val="Normal"/>
    <w:uiPriority w:val="34"/>
    <w:qFormat/>
    <w:rsid w:val="00800F2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73FB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A1BB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1BB6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2A1B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1BB6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Elica">
  <a:themeElements>
    <a:clrScheme name="Elica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Elica">
      <a:majorFont>
        <a:latin typeface="Trebuchet MS"/>
        <a:ea typeface=""/>
        <a:cs typeface=""/>
        <a:font script="Jpan" typeface="ＭＳ ゴシック"/>
        <a:font script="Hang" typeface="HY그래픽B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ＭＳ ゴシック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lica">
      <a:fillStyleLst>
        <a:solidFill>
          <a:schemeClr val="phClr"/>
        </a:solidFill>
        <a:gradFill rotWithShape="1">
          <a:gsLst>
            <a:gs pos="28000">
              <a:schemeClr val="phClr">
                <a:tint val="18000"/>
                <a:satMod val="120000"/>
                <a:lumMod val="88000"/>
              </a:schemeClr>
            </a:gs>
            <a:gs pos="100000">
              <a:schemeClr val="phClr">
                <a:tint val="40000"/>
                <a:satMod val="100000"/>
                <a:lumMod val="7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95000"/>
              </a:schemeClr>
            </a:gs>
            <a:gs pos="100000">
              <a:schemeClr val="phClr">
                <a:shade val="82000"/>
                <a:satMod val="125000"/>
                <a:lumMod val="74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satMod val="125000"/>
              <a:lumMod val="7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50800" dir="5400000" sx="98000" sy="98000" rotWithShape="0">
              <a:srgbClr val="000000">
                <a:alpha val="20000"/>
              </a:srgbClr>
            </a:outerShdw>
          </a:effectLst>
        </a:effectStyle>
        <a:effectStyle>
          <a:effectLst>
            <a:outerShdw blurRad="40005" dist="22984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alanced" dir="tr"/>
          </a:scene3d>
          <a:sp3d prstMaterial="matte">
            <a:bevelT w="19050" h="38100"/>
          </a:sp3d>
        </a:effectStyle>
        <a:effectStyle>
          <a:effectLst>
            <a:reflection blurRad="38100" stA="26000" endPos="23000" dist="25400" dir="5400000" sy="-100000" rotWithShape="0"/>
          </a:effectLst>
          <a:scene3d>
            <a:camera prst="orthographicFront">
              <a:rot lat="0" lon="0" rev="0"/>
            </a:camera>
            <a:lightRig rig="balanced" dir="tr"/>
          </a:scene3d>
          <a:sp3d contourW="14605" prstMaterial="plastic">
            <a:bevelT w="50800"/>
            <a:contourClr>
              <a:schemeClr val="phClr">
                <a:shade val="30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shade val="90000"/>
                <a:satMod val="160000"/>
                <a:lumMod val="100000"/>
              </a:schemeClr>
            </a:gs>
            <a:gs pos="60000">
              <a:schemeClr val="phClr">
                <a:tint val="95000"/>
                <a:shade val="100000"/>
                <a:satMod val="130000"/>
                <a:lumMod val="130000"/>
              </a:schemeClr>
            </a:gs>
            <a:gs pos="100000">
              <a:schemeClr val="phClr">
                <a:tint val="97000"/>
                <a:shade val="100000"/>
                <a:hueMod val="100000"/>
                <a:satMod val="140000"/>
                <a:lumMod val="80000"/>
              </a:schemeClr>
            </a:gs>
          </a:gsLst>
          <a:path path="circle">
            <a:fillToRect l="20000" t="10000" r="20000" b="60000"/>
          </a:path>
        </a:gradFill>
        <a:gradFill rotWithShape="1">
          <a:gsLst>
            <a:gs pos="0">
              <a:schemeClr val="phClr">
                <a:tint val="94000"/>
                <a:satMod val="160000"/>
                <a:lumMod val="160000"/>
              </a:schemeClr>
            </a:gs>
            <a:gs pos="42000">
              <a:schemeClr val="phClr">
                <a:tint val="94000"/>
                <a:shade val="94000"/>
                <a:satMod val="160000"/>
                <a:lumMod val="130000"/>
              </a:schemeClr>
            </a:gs>
            <a:gs pos="100000">
              <a:schemeClr val="phClr">
                <a:tint val="97000"/>
                <a:shade val="94000"/>
                <a:satMod val="180000"/>
                <a:lumMod val="84000"/>
              </a:schemeClr>
            </a:gs>
          </a:gsLst>
          <a:path path="circle">
            <a:fillToRect l="24000" t="44000" r="24000" b="12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521</Words>
  <Characters>2971</Characters>
  <Application>Microsoft Macintosh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Mc128k</dc:creator>
  <cp:keywords/>
  <dc:description/>
  <cp:lastModifiedBy>Mc128k</cp:lastModifiedBy>
  <cp:revision>10</cp:revision>
  <dcterms:created xsi:type="dcterms:W3CDTF">2013-12-27T23:36:00Z</dcterms:created>
  <dcterms:modified xsi:type="dcterms:W3CDTF">2014-09-20T21:51:00Z</dcterms:modified>
</cp:coreProperties>
</file>