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2942BD" w14:textId="77777777" w:rsidR="00E32ABE" w:rsidRDefault="0028629A" w:rsidP="0028629A">
      <w:pPr>
        <w:pStyle w:val="Title"/>
      </w:pPr>
      <w:r>
        <w:t>Sommatoria e Produttoria</w:t>
      </w:r>
    </w:p>
    <w:p w14:paraId="2EF22560" w14:textId="77777777" w:rsidR="00EB4E89" w:rsidRDefault="00EB4E89" w:rsidP="00EB4E89">
      <w:pPr>
        <w:pStyle w:val="Heading1"/>
      </w:pPr>
      <w:r>
        <w:t>Sommatoria</w:t>
      </w:r>
    </w:p>
    <w:p w14:paraId="1A90B01D" w14:textId="77777777" w:rsidR="0028629A" w:rsidRDefault="0028629A" w:rsidP="0028629A">
      <w:r>
        <w:t xml:space="preserve">Da utilizzare quando bisogna avere a che fare con la somma di </w:t>
      </w:r>
      <w:r>
        <w:rPr>
          <w:i/>
        </w:rPr>
        <w:t>n</w:t>
      </w:r>
      <w:r>
        <w:t xml:space="preserve"> termini. Il simbolo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r>
              <w:rPr>
                <w:rFonts w:ascii="Cambria Math" w:hAnsi="Cambria Math"/>
              </w:rPr>
              <m:t xml:space="preserve"> </m:t>
            </m:r>
          </m:e>
        </m:nary>
      </m:oMath>
      <w:r>
        <w:t xml:space="preserve">descrive in modo compatto la somma di </w:t>
      </w:r>
      <w:r>
        <w:rPr>
          <w:i/>
        </w:rPr>
        <w:t>n</w:t>
      </w:r>
      <w:r>
        <w:t xml:space="preserve"> termini.</w:t>
      </w:r>
    </w:p>
    <w:p w14:paraId="3BC11304" w14:textId="77777777" w:rsidR="0028629A" w:rsidRDefault="0028629A" w:rsidP="0028629A">
      <w:pPr>
        <w:pStyle w:val="Subtitle"/>
        <w:rPr>
          <w:rFonts w:asciiTheme="minorHAnsi" w:eastAsiaTheme="minorEastAsia" w:hAnsiTheme="minorHAnsi" w:cstheme="minorBidi"/>
          <w:i w:val="0"/>
          <w:iCs w:val="0"/>
          <w:color w:val="auto"/>
          <w:spacing w:val="0"/>
        </w:rPr>
      </w:pPr>
    </w:p>
    <w:p w14:paraId="7903490E" w14:textId="77777777" w:rsidR="0028629A" w:rsidRPr="0028629A" w:rsidRDefault="0028629A" w:rsidP="0028629A">
      <m:oMathPara>
        <m:oMath>
          <m:r>
            <w:rPr>
              <w:rFonts w:ascii="Cambria Math" w:hAnsi="Cambria Math"/>
            </w:rPr>
            <m:t>S=1+2+3+…+n</m:t>
          </m:r>
        </m:oMath>
      </m:oMathPara>
    </w:p>
    <w:p w14:paraId="0E169EAB" w14:textId="77777777" w:rsidR="0028629A" w:rsidRPr="0028629A" w:rsidRDefault="0028629A" w:rsidP="0028629A">
      <m:oMathPara>
        <m:oMath>
          <m:r>
            <w:rPr>
              <w:rFonts w:ascii="Cambria Math" w:hAnsi="Cambria Math"/>
            </w:rPr>
            <m:t>S=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k</m:t>
              </m:r>
            </m:e>
          </m:nary>
        </m:oMath>
      </m:oMathPara>
    </w:p>
    <w:p w14:paraId="14D1ADE9" w14:textId="77777777" w:rsidR="0028629A" w:rsidRDefault="0028629A" w:rsidP="0028629A">
      <w:r>
        <w:t>In parole umane, somma in k per k che va da 1 a n, di k</w:t>
      </w:r>
    </w:p>
    <w:p w14:paraId="4B09886E" w14:textId="77777777" w:rsidR="0028629A" w:rsidRDefault="0028629A" w:rsidP="0028629A"/>
    <w:p w14:paraId="47C3B40F" w14:textId="77777777" w:rsidR="0028629A" w:rsidRDefault="0028629A" w:rsidP="0028629A">
      <w:r>
        <w:t xml:space="preserve">Per la somma dei primi </w:t>
      </w:r>
      <w:r>
        <w:rPr>
          <w:i/>
        </w:rPr>
        <w:t>n</w:t>
      </w:r>
      <w:r>
        <w:t xml:space="preserve"> interi pari,</w:t>
      </w:r>
    </w:p>
    <w:p w14:paraId="39DF83F5" w14:textId="77777777" w:rsidR="0028629A" w:rsidRPr="0028629A" w:rsidRDefault="0028629A" w:rsidP="0028629A">
      <m:oMathPara>
        <m:oMath>
          <m:r>
            <w:rPr>
              <w:rFonts w:ascii="Cambria Math" w:hAnsi="Cambria Math"/>
            </w:rPr>
            <m:t>S=2+4+6+…+2n</m:t>
          </m:r>
        </m:oMath>
      </m:oMathPara>
    </w:p>
    <w:p w14:paraId="4ED6260B" w14:textId="77777777" w:rsidR="0028629A" w:rsidRPr="0028629A" w:rsidRDefault="0028629A" w:rsidP="0028629A">
      <m:oMathPara>
        <m:oMath>
          <m:r>
            <w:rPr>
              <w:rFonts w:ascii="Cambria Math" w:hAnsi="Cambria Math"/>
            </w:rPr>
            <m:t>S=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2k</m:t>
              </m:r>
            </m:e>
          </m:nary>
        </m:oMath>
      </m:oMathPara>
    </w:p>
    <w:p w14:paraId="087E5E40" w14:textId="77777777" w:rsidR="0028629A" w:rsidRDefault="0028629A" w:rsidP="0028629A">
      <w:r>
        <w:t>Quindi generalizzando si ha:</w:t>
      </w:r>
    </w:p>
    <w:p w14:paraId="72F26017" w14:textId="77777777" w:rsidR="0028629A" w:rsidRPr="0028629A" w:rsidRDefault="0028629A" w:rsidP="0028629A">
      <m:oMathPara>
        <m:oMath>
          <m:r>
            <w:rPr>
              <w:rFonts w:ascii="Cambria Math" w:hAnsi="Cambria Math"/>
            </w:rPr>
            <m:t>S=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m+1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m+2</m:t>
              </m:r>
            </m:sub>
          </m:sSub>
          <m:r>
            <w:rPr>
              <w:rFonts w:ascii="Cambria Math" w:hAnsi="Cambria Math"/>
            </w:rPr>
            <m:t>+…+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575D3DF4" w14:textId="77777777" w:rsidR="0028629A" w:rsidRPr="0028629A" w:rsidRDefault="00185B82" w:rsidP="0028629A"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k=m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e>
          </m:nary>
        </m:oMath>
      </m:oMathPara>
    </w:p>
    <w:p w14:paraId="2F1E8D30" w14:textId="77777777" w:rsidR="0028629A" w:rsidRDefault="0028629A" w:rsidP="0028629A"/>
    <w:p w14:paraId="421B3238" w14:textId="77777777" w:rsidR="0028629A" w:rsidRDefault="0028629A" w:rsidP="0028629A">
      <w:r>
        <w:t>Il simbolo ha questo significato:</w:t>
      </w:r>
    </w:p>
    <w:p w14:paraId="286268A2" w14:textId="77777777" w:rsidR="0028629A" w:rsidRPr="0028629A" w:rsidRDefault="007710BE" w:rsidP="0028629A">
      <m:oMathPara>
        <m:oMath>
          <m:r>
            <w:rPr>
              <w:rFonts w:ascii="Cambria Math" w:hAnsi="Cambria Math"/>
            </w:rPr>
            <m:t>ripeti la somma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da</m:t>
              </m:r>
            </m:sub>
            <m:sup>
              <m:r>
                <w:rPr>
                  <w:rFonts w:ascii="Cambria Math" w:hAnsi="Cambria Math"/>
                </w:rPr>
                <m:t>fino a</m:t>
              </m:r>
            </m:sup>
            <m:e>
              <m:r>
                <w:rPr>
                  <w:rFonts w:ascii="Cambria Math" w:hAnsi="Cambria Math"/>
                </w:rPr>
                <m:t>di cosa</m:t>
              </m:r>
            </m:e>
          </m:nary>
        </m:oMath>
      </m:oMathPara>
    </w:p>
    <w:p w14:paraId="6254E3F8" w14:textId="77777777" w:rsidR="0028629A" w:rsidRDefault="0028629A" w:rsidP="0028629A">
      <w:r>
        <w:t xml:space="preserve">Per chi ha programmato in C, questa è una operazione </w:t>
      </w:r>
      <w:r w:rsidRPr="0028629A">
        <w:rPr>
          <w:i/>
        </w:rPr>
        <w:t>for(start;end;increment)</w:t>
      </w:r>
      <w:r>
        <w:t xml:space="preserve">. </w:t>
      </w:r>
    </w:p>
    <w:p w14:paraId="6DBA881E" w14:textId="77777777" w:rsidR="007710BE" w:rsidRDefault="007710BE" w:rsidP="0028629A"/>
    <w:p w14:paraId="2804DDBD" w14:textId="77777777" w:rsidR="007710BE" w:rsidRDefault="007710BE" w:rsidP="007710BE">
      <w:pPr>
        <w:pStyle w:val="Subtitle"/>
      </w:pPr>
      <w:r>
        <w:t>Esempio</w:t>
      </w:r>
    </w:p>
    <w:p w14:paraId="5DBB526E" w14:textId="77777777" w:rsidR="007710BE" w:rsidRPr="007710BE" w:rsidRDefault="007710BE" w:rsidP="007710BE">
      <w:r>
        <w:t xml:space="preserve">Si scriva in termini di sommatoria la somma </w:t>
      </w:r>
      <m:oMath>
        <m:r>
          <w:rPr>
            <w:rFonts w:ascii="Cambria Math" w:hAnsi="Cambria Math"/>
          </w:rPr>
          <m:t>S=5+10+15+20+…+100</m:t>
        </m:r>
      </m:oMath>
    </w:p>
    <w:p w14:paraId="76563DB1" w14:textId="77777777" w:rsidR="007710BE" w:rsidRDefault="007710BE" w:rsidP="007710BE">
      <w:r>
        <w:t>L’addendo della somma è un multiplo di 5, quindi potrà essere scritto come 5k. Al primo corrisponde 1 e all’ultimo 20, quindi:</w:t>
      </w:r>
    </w:p>
    <w:p w14:paraId="6589B98B" w14:textId="77777777" w:rsidR="007710BE" w:rsidRPr="007710BE" w:rsidRDefault="00185B82" w:rsidP="007710BE"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k=1</m:t>
              </m:r>
            </m:sub>
            <m:sup>
              <m:r>
                <w:rPr>
                  <w:rFonts w:ascii="Cambria Math" w:hAnsi="Cambria Math"/>
                </w:rPr>
                <m:t>20</m:t>
              </m:r>
            </m:sup>
            <m:e>
              <m:r>
                <w:rPr>
                  <w:rFonts w:ascii="Cambria Math" w:hAnsi="Cambria Math"/>
                </w:rPr>
                <m:t>5k</m:t>
              </m:r>
            </m:e>
          </m:nary>
        </m:oMath>
      </m:oMathPara>
    </w:p>
    <w:p w14:paraId="6F9FE847" w14:textId="77777777" w:rsidR="007710BE" w:rsidRDefault="007710BE" w:rsidP="007710BE">
      <w:pPr>
        <w:pStyle w:val="Subtitle"/>
      </w:pPr>
      <w:r>
        <w:t>Esempio</w:t>
      </w:r>
    </w:p>
    <w:p w14:paraId="649EE360" w14:textId="77777777" w:rsidR="007710BE" w:rsidRPr="007710BE" w:rsidRDefault="00A34DB0" w:rsidP="007710BE">
      <w:r>
        <w:t xml:space="preserve">Si ha  </w:t>
      </w:r>
      <m:oMath>
        <m:r>
          <w:rPr>
            <w:rFonts w:ascii="Cambria Math" w:hAnsi="Cambria Math"/>
          </w:rPr>
          <m:t>S=-1+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+…-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25</m:t>
            </m:r>
          </m:den>
        </m:f>
      </m:oMath>
    </w:p>
    <w:p w14:paraId="3E85D62E" w14:textId="77777777" w:rsidR="007710BE" w:rsidRDefault="007710BE" w:rsidP="007710BE">
      <w:r>
        <w:t xml:space="preserve">Il generico addendo escludendo il segno è dato da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k</m:t>
            </m:r>
          </m:den>
        </m:f>
      </m:oMath>
      <w:r>
        <w:t xml:space="preserve">, con k che parte da 1 e arriva a 25. Quelli dispari hanno segno negativo e quelli pari sono positivi. Quindi  il termine generico può essere scritto come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</w:rPr>
              <m:t>k</m:t>
            </m:r>
          </m:sup>
        </m:sSup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k</m:t>
            </m:r>
          </m:den>
        </m:f>
        <m:r>
          <w:rPr>
            <w:rFonts w:ascii="Cambria Math" w:hAnsi="Cambria Math"/>
          </w:rPr>
          <m:t xml:space="preserve"> </m:t>
        </m:r>
      </m:oMath>
      <w:r>
        <w:t>. N</w:t>
      </w:r>
      <w:bookmarkStart w:id="0" w:name="_GoBack"/>
      <w:bookmarkEnd w:id="0"/>
      <w:r>
        <w:t>ota che -1 elevato per un numero pari dà il segno positivo.</w:t>
      </w:r>
    </w:p>
    <w:p w14:paraId="2F7689AA" w14:textId="77777777" w:rsidR="007710BE" w:rsidRPr="007710BE" w:rsidRDefault="00185B82" w:rsidP="007710BE"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k=1</m:t>
              </m:r>
            </m:sub>
            <m:sup>
              <m:r>
                <w:rPr>
                  <w:rFonts w:ascii="Cambria Math" w:hAnsi="Cambria Math"/>
                </w:rPr>
                <m:t>25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k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k</m:t>
                  </m:r>
                </m:den>
              </m:f>
            </m:e>
          </m:nary>
        </m:oMath>
      </m:oMathPara>
    </w:p>
    <w:p w14:paraId="718C0843" w14:textId="77777777" w:rsidR="007710BE" w:rsidRDefault="00A34DB0" w:rsidP="00A34DB0">
      <w:pPr>
        <w:pStyle w:val="Subtitle"/>
      </w:pPr>
      <w:r>
        <w:t>Esempio</w:t>
      </w:r>
    </w:p>
    <w:p w14:paraId="2425D373" w14:textId="77777777" w:rsidR="00A34DB0" w:rsidRPr="00A34DB0" w:rsidRDefault="00A34DB0" w:rsidP="00A34DB0">
      <w:r>
        <w:t xml:space="preserve">Si ha  </w:t>
      </w:r>
      <m:oMath>
        <m:r>
          <w:rPr>
            <w:rFonts w:ascii="Cambria Math" w:hAnsi="Cambria Math"/>
          </w:rPr>
          <m:t>S=-1+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13</m:t>
            </m:r>
          </m:den>
        </m:f>
      </m:oMath>
    </w:p>
    <w:p w14:paraId="5A2DA5D6" w14:textId="77777777" w:rsidR="00A34DB0" w:rsidRDefault="00A34DB0" w:rsidP="00A34DB0"/>
    <w:p w14:paraId="243FF263" w14:textId="77777777" w:rsidR="00A34DB0" w:rsidRPr="00EB4E89" w:rsidRDefault="00185B82" w:rsidP="00A34DB0"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k=1</m:t>
              </m:r>
            </m:sub>
            <m:sup>
              <m:r>
                <w:rPr>
                  <w:rFonts w:ascii="Cambria Math" w:hAnsi="Cambria Math"/>
                </w:rPr>
                <m:t>7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k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2k-1</m:t>
                  </m:r>
                </m:den>
              </m:f>
            </m:e>
          </m:nary>
        </m:oMath>
      </m:oMathPara>
    </w:p>
    <w:p w14:paraId="44428C2B" w14:textId="77777777" w:rsidR="00EB4E89" w:rsidRDefault="00EB4E89" w:rsidP="00EB4E89">
      <w:pPr>
        <w:pStyle w:val="Heading2"/>
      </w:pPr>
      <w:r>
        <w:t xml:space="preserve">Somma dei primi </w:t>
      </w:r>
      <w:r>
        <w:rPr>
          <w:i/>
        </w:rPr>
        <w:t>n</w:t>
      </w:r>
      <w:r>
        <w:t xml:space="preserve"> interi</w:t>
      </w:r>
    </w:p>
    <w:p w14:paraId="48081D0B" w14:textId="079F5929" w:rsidR="00EB4E89" w:rsidRPr="00DB3721" w:rsidRDefault="00DB3721" w:rsidP="00EB4E89">
      <w:pPr>
        <w:rPr>
          <w:rFonts w:asciiTheme="majorHAnsi" w:eastAsiaTheme="majorEastAsia" w:hAnsiTheme="majorHAnsi" w:cstheme="majorBidi"/>
        </w:rPr>
      </w:pPr>
      <m:oMathPara>
        <m:oMath>
          <m:r>
            <w:rPr>
              <w:rFonts w:ascii="Cambria Math" w:hAnsi="Cambria Math"/>
            </w:rPr>
            <m:t xml:space="preserve">S=1+2+3+…+n=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k</m:t>
              </m:r>
            </m:e>
          </m:nary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n(n+1)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5804C6DF" w14:textId="77777777" w:rsidR="00DB3721" w:rsidRPr="00DB3721" w:rsidRDefault="00DB3721" w:rsidP="00EB4E89">
      <w:pPr>
        <w:rPr>
          <w:rFonts w:asciiTheme="majorHAnsi" w:eastAsiaTheme="majorEastAsia" w:hAnsiTheme="majorHAnsi" w:cstheme="majorBidi"/>
        </w:rPr>
      </w:pPr>
    </w:p>
    <w:p w14:paraId="7A4F1D83" w14:textId="5FC243D1" w:rsidR="00EB4E89" w:rsidRDefault="00DB3721" w:rsidP="00DB3721">
      <w:pPr>
        <w:pStyle w:val="Heading2"/>
      </w:pPr>
      <w:r>
        <w:t>Proprietà</w:t>
      </w:r>
    </w:p>
    <w:p w14:paraId="3AB09CC4" w14:textId="61EB84DA" w:rsidR="00DB3721" w:rsidRDefault="00DB3721" w:rsidP="00DB3721">
      <w:r>
        <w:t>Omogeneità:</w:t>
      </w:r>
    </w:p>
    <w:p w14:paraId="5347345F" w14:textId="4B004C09" w:rsidR="00DB3721" w:rsidRPr="00DB3721" w:rsidRDefault="00185B82" w:rsidP="00DB3721"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e>
          </m:nary>
          <m:r>
            <w:rPr>
              <w:rFonts w:ascii="Cambria Math" w:hAnsi="Cambria Math"/>
            </w:rPr>
            <m:t>=c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e>
          </m:nary>
        </m:oMath>
      </m:oMathPara>
    </w:p>
    <w:p w14:paraId="576EB889" w14:textId="7AE21DDE" w:rsidR="00DB3721" w:rsidRDefault="00DB3721" w:rsidP="00DB3721">
      <w:r>
        <w:t>Additività:</w:t>
      </w:r>
    </w:p>
    <w:p w14:paraId="23547A3C" w14:textId="01BBFB8E" w:rsidR="00DB3721" w:rsidRPr="004E1D18" w:rsidRDefault="00185B82" w:rsidP="00DB3721"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nary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e>
          </m:nary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e>
          </m:nary>
        </m:oMath>
      </m:oMathPara>
    </w:p>
    <w:p w14:paraId="227F3F44" w14:textId="77777777" w:rsidR="004E1D18" w:rsidRDefault="004E1D18" w:rsidP="00DB3721"/>
    <w:p w14:paraId="6571C152" w14:textId="74B6C3B7" w:rsidR="00DB3721" w:rsidRDefault="00DB3721" w:rsidP="00DB3721">
      <w:r>
        <w:t>Cambio di variabili per l’indice di somma (n&gt;m)</w:t>
      </w:r>
      <w:r w:rsidR="004E1D18">
        <w:t>:</w:t>
      </w:r>
    </w:p>
    <w:p w14:paraId="432BE029" w14:textId="3E1E6E70" w:rsidR="004E1D18" w:rsidRDefault="00185B82" w:rsidP="00DB3721"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k=m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e>
          </m:nary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e>
          </m:nary>
          <m:r>
            <w:rPr>
              <w:rFonts w:ascii="Cambria Math" w:hAnsi="Cambria Math"/>
            </w:rPr>
            <m:t>-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k=1</m:t>
              </m:r>
            </m:sub>
            <m:sup>
              <m:r>
                <w:rPr>
                  <w:rFonts w:ascii="Cambria Math" w:hAnsi="Cambria Math"/>
                </w:rPr>
                <m:t>m-1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e>
          </m:nary>
        </m:oMath>
      </m:oMathPara>
    </w:p>
    <w:p w14:paraId="192DCBF1" w14:textId="06AAC9E1" w:rsidR="00DB3721" w:rsidRDefault="00DB3721" w:rsidP="004E1D18">
      <w:pPr>
        <w:tabs>
          <w:tab w:val="left" w:pos="5632"/>
        </w:tabs>
      </w:pPr>
    </w:p>
    <w:p w14:paraId="42C0186F" w14:textId="5E762002" w:rsidR="004E1D18" w:rsidRDefault="004E1D18" w:rsidP="004E1D18">
      <w:pPr>
        <w:tabs>
          <w:tab w:val="left" w:pos="5632"/>
        </w:tabs>
      </w:pPr>
      <w:r>
        <w:t>Somma di termini costanti:</w:t>
      </w:r>
    </w:p>
    <w:p w14:paraId="610F7CBA" w14:textId="15ADF2A7" w:rsidR="004E1D18" w:rsidRPr="004E1D18" w:rsidRDefault="00185B82" w:rsidP="004E1D18">
      <w:pPr>
        <w:tabs>
          <w:tab w:val="left" w:pos="5632"/>
        </w:tabs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c</m:t>
              </m:r>
            </m:e>
          </m:nary>
          <m:r>
            <w:rPr>
              <w:rFonts w:ascii="Cambria Math" w:hAnsi="Cambria Math"/>
            </w:rPr>
            <m:t>=c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1</m:t>
              </m:r>
            </m:e>
          </m:nary>
          <m:r>
            <w:rPr>
              <w:rFonts w:ascii="Cambria Math" w:hAnsi="Cambria Math"/>
            </w:rPr>
            <m:t xml:space="preserve">=cn </m:t>
          </m:r>
        </m:oMath>
      </m:oMathPara>
    </w:p>
    <w:p w14:paraId="03745748" w14:textId="77777777" w:rsidR="004E1D18" w:rsidRDefault="004E1D18" w:rsidP="004E1D18">
      <w:pPr>
        <w:tabs>
          <w:tab w:val="left" w:pos="5632"/>
        </w:tabs>
      </w:pPr>
    </w:p>
    <w:p w14:paraId="214510C4" w14:textId="48410F8D" w:rsidR="004E1D18" w:rsidRDefault="004E1D18" w:rsidP="004E1D18">
      <w:pPr>
        <w:pStyle w:val="Heading1"/>
      </w:pPr>
      <w:r>
        <w:t>Produttoria</w:t>
      </w:r>
    </w:p>
    <w:p w14:paraId="71A0FE1A" w14:textId="783D56D9" w:rsidR="004E1D18" w:rsidRDefault="004E1D18" w:rsidP="004E1D18">
      <w:r>
        <w:t xml:space="preserve">Alla stessa maniera della sommatoria, il simbolo di produttoria indica una serie di prodotti tra </w:t>
      </w:r>
      <w:r>
        <w:rPr>
          <w:i/>
        </w:rPr>
        <w:t>n</w:t>
      </w:r>
      <w:r>
        <w:t xml:space="preserve"> termini.</w:t>
      </w:r>
    </w:p>
    <w:p w14:paraId="1C5BABB3" w14:textId="18DE0E4D" w:rsidR="004E1D18" w:rsidRPr="004E1D18" w:rsidRDefault="00185B82" w:rsidP="004E1D18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⋅…⋅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∏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e>
          </m:nary>
        </m:oMath>
      </m:oMathPara>
    </w:p>
    <w:p w14:paraId="735C567A" w14:textId="0F44CDF4" w:rsidR="004E1D18" w:rsidRPr="004E1D18" w:rsidRDefault="004E1D18" w:rsidP="004E1D18"/>
    <w:p w14:paraId="169549CF" w14:textId="7196B77B" w:rsidR="004E1D18" w:rsidRDefault="004E1D18" w:rsidP="004E1D18">
      <w:r>
        <w:t xml:space="preserve">Il </w:t>
      </w:r>
      <w:r>
        <w:rPr>
          <w:b/>
        </w:rPr>
        <w:t>fattoriale</w:t>
      </w:r>
      <w:r>
        <w:t xml:space="preserve"> di un numero si ottiene con la produttoria seguente:</w:t>
      </w:r>
    </w:p>
    <w:p w14:paraId="5CCAF7F1" w14:textId="4CFDF31C" w:rsidR="004E1D18" w:rsidRPr="004E1D18" w:rsidRDefault="004E1D18" w:rsidP="004E1D18">
      <m:oMathPara>
        <m:oMath>
          <m:r>
            <w:rPr>
              <w:rFonts w:ascii="Cambria Math" w:hAnsi="Cambria Math"/>
            </w:rPr>
            <m:t>n!=</m:t>
          </m:r>
          <m:nary>
            <m:naryPr>
              <m:chr m:val="∏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k</m:t>
              </m:r>
            </m:e>
          </m:nary>
        </m:oMath>
      </m:oMathPara>
    </w:p>
    <w:p w14:paraId="45645808" w14:textId="3D8DA7E7" w:rsidR="004E1D18" w:rsidRDefault="004E1D18" w:rsidP="004E1D18">
      <w:r>
        <w:t>Che equivale a:</w:t>
      </w:r>
    </w:p>
    <w:p w14:paraId="35920319" w14:textId="6B60D7A5" w:rsidR="004E1D18" w:rsidRPr="004E1D18" w:rsidRDefault="004E1D18" w:rsidP="004E1D18">
      <m:oMathPara>
        <m:oMath>
          <m:r>
            <w:rPr>
              <w:rFonts w:ascii="Cambria Math" w:hAnsi="Cambria Math"/>
            </w:rPr>
            <m:t>n!=1⋅2⋅3⋅4⋅…⋅n</m:t>
          </m:r>
        </m:oMath>
      </m:oMathPara>
    </w:p>
    <w:sectPr w:rsidR="004E1D18" w:rsidRPr="004E1D18" w:rsidSect="00E32ABE"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C8F4D1" w14:textId="77777777" w:rsidR="00185B82" w:rsidRDefault="00185B82" w:rsidP="00185B82">
      <w:r>
        <w:separator/>
      </w:r>
    </w:p>
  </w:endnote>
  <w:endnote w:type="continuationSeparator" w:id="0">
    <w:p w14:paraId="764DCEBF" w14:textId="77777777" w:rsidR="00185B82" w:rsidRDefault="00185B82" w:rsidP="00185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ヒラギノ明朝 Pro W3">
    <w:charset w:val="4E"/>
    <w:family w:val="auto"/>
    <w:pitch w:val="variable"/>
    <w:sig w:usb0="E00002FF" w:usb1="7AC7FFFF" w:usb2="00000012" w:usb3="00000000" w:csb0="0002000D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9E876" w14:textId="22FDA110" w:rsidR="00185B82" w:rsidRDefault="00185B82">
    <w:pPr>
      <w:pStyle w:val="Footer"/>
    </w:pPr>
    <w:r>
      <w:t>2014 Mc128k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3F57BF" w14:textId="77777777" w:rsidR="00185B82" w:rsidRDefault="00185B82" w:rsidP="00185B82">
      <w:r>
        <w:separator/>
      </w:r>
    </w:p>
  </w:footnote>
  <w:footnote w:type="continuationSeparator" w:id="0">
    <w:p w14:paraId="1121341B" w14:textId="77777777" w:rsidR="00185B82" w:rsidRDefault="00185B82" w:rsidP="00185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A18A3"/>
    <w:multiLevelType w:val="hybridMultilevel"/>
    <w:tmpl w:val="A3884B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5A"/>
    <w:rsid w:val="000C4976"/>
    <w:rsid w:val="00185B82"/>
    <w:rsid w:val="0028629A"/>
    <w:rsid w:val="0032695A"/>
    <w:rsid w:val="004E1D18"/>
    <w:rsid w:val="007710BE"/>
    <w:rsid w:val="00957BF4"/>
    <w:rsid w:val="00A34DB0"/>
    <w:rsid w:val="00A46144"/>
    <w:rsid w:val="00B5360D"/>
    <w:rsid w:val="00DB3721"/>
    <w:rsid w:val="00E32ABE"/>
    <w:rsid w:val="00EB3A83"/>
    <w:rsid w:val="00EB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0FCA4D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4E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65953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4E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07F7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37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07F76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8629A"/>
    <w:pPr>
      <w:pBdr>
        <w:bottom w:val="single" w:sz="8" w:space="4" w:color="907F76" w:themeColor="accent1"/>
      </w:pBdr>
      <w:spacing w:after="300"/>
      <w:contextualSpacing/>
    </w:pPr>
    <w:rPr>
      <w:rFonts w:asciiTheme="majorHAnsi" w:eastAsiaTheme="majorEastAsia" w:hAnsiTheme="majorHAnsi" w:cstheme="majorBidi"/>
      <w:color w:val="2D2B35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629A"/>
    <w:rPr>
      <w:rFonts w:asciiTheme="majorHAnsi" w:eastAsiaTheme="majorEastAsia" w:hAnsiTheme="majorHAnsi" w:cstheme="majorBidi"/>
      <w:color w:val="2D2B35" w:themeColor="text2" w:themeShade="BF"/>
      <w:spacing w:val="5"/>
      <w:kern w:val="28"/>
      <w:sz w:val="52"/>
      <w:szCs w:val="52"/>
      <w:lang w:val="it-IT"/>
    </w:rPr>
  </w:style>
  <w:style w:type="character" w:styleId="PlaceholderText">
    <w:name w:val="Placeholder Text"/>
    <w:basedOn w:val="DefaultParagraphFont"/>
    <w:uiPriority w:val="99"/>
    <w:semiHidden/>
    <w:rsid w:val="0028629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2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29A"/>
    <w:rPr>
      <w:rFonts w:ascii="Lucida Grande" w:hAnsi="Lucida Grande" w:cs="Lucida Grande"/>
      <w:sz w:val="18"/>
      <w:szCs w:val="18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29A"/>
    <w:pPr>
      <w:numPr>
        <w:ilvl w:val="1"/>
      </w:numPr>
    </w:pPr>
    <w:rPr>
      <w:rFonts w:asciiTheme="majorHAnsi" w:eastAsiaTheme="majorEastAsia" w:hAnsiTheme="majorHAnsi" w:cstheme="majorBidi"/>
      <w:i/>
      <w:iCs/>
      <w:color w:val="907F76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8629A"/>
    <w:rPr>
      <w:rFonts w:asciiTheme="majorHAnsi" w:eastAsiaTheme="majorEastAsia" w:hAnsiTheme="majorHAnsi" w:cstheme="majorBidi"/>
      <w:i/>
      <w:iCs/>
      <w:color w:val="907F76" w:themeColor="accent1"/>
      <w:spacing w:val="15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EB4E89"/>
    <w:rPr>
      <w:rFonts w:asciiTheme="majorHAnsi" w:eastAsiaTheme="majorEastAsia" w:hAnsiTheme="majorHAnsi" w:cstheme="majorBidi"/>
      <w:b/>
      <w:bCs/>
      <w:color w:val="665953" w:themeColor="accent1" w:themeShade="B5"/>
      <w:sz w:val="32"/>
      <w:szCs w:val="32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EB4E89"/>
    <w:rPr>
      <w:rFonts w:asciiTheme="majorHAnsi" w:eastAsiaTheme="majorEastAsia" w:hAnsiTheme="majorHAnsi" w:cstheme="majorBidi"/>
      <w:b/>
      <w:bCs/>
      <w:color w:val="907F76" w:themeColor="accent1"/>
      <w:sz w:val="26"/>
      <w:szCs w:val="26"/>
      <w:lang w:val="it-IT"/>
    </w:rPr>
  </w:style>
  <w:style w:type="paragraph" w:styleId="ListParagraph">
    <w:name w:val="List Paragraph"/>
    <w:basedOn w:val="Normal"/>
    <w:uiPriority w:val="34"/>
    <w:qFormat/>
    <w:rsid w:val="00DB372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B3721"/>
    <w:rPr>
      <w:rFonts w:asciiTheme="majorHAnsi" w:eastAsiaTheme="majorEastAsia" w:hAnsiTheme="majorHAnsi" w:cstheme="majorBidi"/>
      <w:b/>
      <w:bCs/>
      <w:color w:val="907F76" w:themeColor="accent1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185B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B82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185B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B82"/>
    <w:rPr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4E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65953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4E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07F7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37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07F76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8629A"/>
    <w:pPr>
      <w:pBdr>
        <w:bottom w:val="single" w:sz="8" w:space="4" w:color="907F76" w:themeColor="accent1"/>
      </w:pBdr>
      <w:spacing w:after="300"/>
      <w:contextualSpacing/>
    </w:pPr>
    <w:rPr>
      <w:rFonts w:asciiTheme="majorHAnsi" w:eastAsiaTheme="majorEastAsia" w:hAnsiTheme="majorHAnsi" w:cstheme="majorBidi"/>
      <w:color w:val="2D2B35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629A"/>
    <w:rPr>
      <w:rFonts w:asciiTheme="majorHAnsi" w:eastAsiaTheme="majorEastAsia" w:hAnsiTheme="majorHAnsi" w:cstheme="majorBidi"/>
      <w:color w:val="2D2B35" w:themeColor="text2" w:themeShade="BF"/>
      <w:spacing w:val="5"/>
      <w:kern w:val="28"/>
      <w:sz w:val="52"/>
      <w:szCs w:val="52"/>
      <w:lang w:val="it-IT"/>
    </w:rPr>
  </w:style>
  <w:style w:type="character" w:styleId="PlaceholderText">
    <w:name w:val="Placeholder Text"/>
    <w:basedOn w:val="DefaultParagraphFont"/>
    <w:uiPriority w:val="99"/>
    <w:semiHidden/>
    <w:rsid w:val="0028629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2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29A"/>
    <w:rPr>
      <w:rFonts w:ascii="Lucida Grande" w:hAnsi="Lucida Grande" w:cs="Lucida Grande"/>
      <w:sz w:val="18"/>
      <w:szCs w:val="18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29A"/>
    <w:pPr>
      <w:numPr>
        <w:ilvl w:val="1"/>
      </w:numPr>
    </w:pPr>
    <w:rPr>
      <w:rFonts w:asciiTheme="majorHAnsi" w:eastAsiaTheme="majorEastAsia" w:hAnsiTheme="majorHAnsi" w:cstheme="majorBidi"/>
      <w:i/>
      <w:iCs/>
      <w:color w:val="907F76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8629A"/>
    <w:rPr>
      <w:rFonts w:asciiTheme="majorHAnsi" w:eastAsiaTheme="majorEastAsia" w:hAnsiTheme="majorHAnsi" w:cstheme="majorBidi"/>
      <w:i/>
      <w:iCs/>
      <w:color w:val="907F76" w:themeColor="accent1"/>
      <w:spacing w:val="15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EB4E89"/>
    <w:rPr>
      <w:rFonts w:asciiTheme="majorHAnsi" w:eastAsiaTheme="majorEastAsia" w:hAnsiTheme="majorHAnsi" w:cstheme="majorBidi"/>
      <w:b/>
      <w:bCs/>
      <w:color w:val="665953" w:themeColor="accent1" w:themeShade="B5"/>
      <w:sz w:val="32"/>
      <w:szCs w:val="32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EB4E89"/>
    <w:rPr>
      <w:rFonts w:asciiTheme="majorHAnsi" w:eastAsiaTheme="majorEastAsia" w:hAnsiTheme="majorHAnsi" w:cstheme="majorBidi"/>
      <w:b/>
      <w:bCs/>
      <w:color w:val="907F76" w:themeColor="accent1"/>
      <w:sz w:val="26"/>
      <w:szCs w:val="26"/>
      <w:lang w:val="it-IT"/>
    </w:rPr>
  </w:style>
  <w:style w:type="paragraph" w:styleId="ListParagraph">
    <w:name w:val="List Paragraph"/>
    <w:basedOn w:val="Normal"/>
    <w:uiPriority w:val="34"/>
    <w:qFormat/>
    <w:rsid w:val="00DB372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B3721"/>
    <w:rPr>
      <w:rFonts w:asciiTheme="majorHAnsi" w:eastAsiaTheme="majorEastAsia" w:hAnsiTheme="majorHAnsi" w:cstheme="majorBidi"/>
      <w:b/>
      <w:bCs/>
      <w:color w:val="907F76" w:themeColor="accent1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185B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B82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185B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B82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4" Type="http://schemas.openxmlformats.org/officeDocument/2006/relationships/image" Target="../media/image4.jpeg"/><Relationship Id="rId1" Type="http://schemas.openxmlformats.org/officeDocument/2006/relationships/image" Target="../media/image1.jpeg"/><Relationship Id="rId2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Formale">
  <a:themeElements>
    <a:clrScheme name="Formale">
      <a:dk1>
        <a:srgbClr val="534239"/>
      </a:dk1>
      <a:lt1>
        <a:srgbClr val="FFFFFF"/>
      </a:lt1>
      <a:dk2>
        <a:srgbClr val="3D3A48"/>
      </a:dk2>
      <a:lt2>
        <a:srgbClr val="E1DFD1"/>
      </a:lt2>
      <a:accent1>
        <a:srgbClr val="907F76"/>
      </a:accent1>
      <a:accent2>
        <a:srgbClr val="A46645"/>
      </a:accent2>
      <a:accent3>
        <a:srgbClr val="CD9C47"/>
      </a:accent3>
      <a:accent4>
        <a:srgbClr val="9A92CD"/>
      </a:accent4>
      <a:accent5>
        <a:srgbClr val="7D639B"/>
      </a:accent5>
      <a:accent6>
        <a:srgbClr val="733678"/>
      </a:accent6>
      <a:hlink>
        <a:srgbClr val="A84914"/>
      </a:hlink>
      <a:folHlink>
        <a:srgbClr val="B25672"/>
      </a:folHlink>
    </a:clrScheme>
    <a:fontScheme name="Formale">
      <a:majorFont>
        <a:latin typeface="Garamond"/>
        <a:ea typeface=""/>
        <a:cs typeface=""/>
        <a:font script="Jpan" typeface="ヒラギノ明朝 Pro W3"/>
        <a:font script="Hans" typeface="宋体"/>
        <a:font script="Hant" typeface="新細明體"/>
      </a:majorFont>
      <a:minorFont>
        <a:latin typeface="Garamond"/>
        <a:ea typeface=""/>
        <a:cs typeface=""/>
        <a:font script="Jpan" typeface="ヒラギノ明朝 Pro W3"/>
        <a:font script="Hans" typeface="宋体"/>
        <a:font script="Hant" typeface="新細明體"/>
      </a:minorFont>
    </a:fontScheme>
    <a:fmtScheme name="Formale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0000"/>
                <a:satMod val="200000"/>
              </a:schemeClr>
              <a:schemeClr val="phClr">
                <a:shade val="90000"/>
                <a:satMod val="150000"/>
              </a:schemeClr>
            </a:duotone>
          </a:blip>
          <a:tile tx="0" ty="0" sx="50000" sy="5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tint val="80000"/>
                <a:satMod val="135000"/>
              </a:schemeClr>
              <a:schemeClr val="phClr">
                <a:shade val="80000"/>
                <a:satMod val="150000"/>
              </a:schemeClr>
            </a:duotone>
          </a:blip>
          <a:tile tx="0" ty="0" sx="65000" sy="65000" flip="none" algn="tl"/>
        </a:blip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  <a:miter/>
        </a:ln>
        <a:ln w="25400" cap="flat" cmpd="sng" algn="ctr">
          <a:solidFill>
            <a:schemeClr val="phClr">
              <a:shade val="90000"/>
              <a:alpha val="90000"/>
            </a:schemeClr>
          </a:solidFill>
          <a:prstDash val="solid"/>
          <a:miter/>
        </a:ln>
        <a:ln w="38100" cap="flat" cmpd="sng" algn="ctr">
          <a:solidFill>
            <a:schemeClr val="phClr">
              <a:shade val="85000"/>
              <a:alpha val="90000"/>
              <a:satMod val="125000"/>
            </a:schemeClr>
          </a:solidFill>
          <a:prstDash val="solid"/>
          <a:miter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88900" dist="38100" dir="5400000" sx="101000" sy="101000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morning" dir="t">
              <a:rot lat="0" lon="0" rev="6000000"/>
            </a:lightRig>
          </a:scene3d>
          <a:sp3d prstMaterial="metal">
            <a:bevelT w="25400" h="12700" prst="artDeco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3">
            <a:duotone>
              <a:schemeClr val="phClr">
                <a:tint val="50000"/>
                <a:satMod val="250000"/>
              </a:schemeClr>
              <a:schemeClr val="phClr">
                <a:shade val="80000"/>
                <a:satMod val="175000"/>
              </a:schemeClr>
            </a:duotone>
          </a:blip>
          <a:stretch/>
        </a:blipFill>
        <a:blipFill rotWithShape="1">
          <a:blip xmlns:r="http://schemas.openxmlformats.org/officeDocument/2006/relationships" r:embed="rId4">
            <a:duotone>
              <a:schemeClr val="phClr">
                <a:tint val="10000"/>
                <a:satMod val="260000"/>
                <a:lumMod val="115000"/>
              </a:schemeClr>
              <a:schemeClr val="phClr">
                <a:shade val="75000"/>
                <a:satMod val="175000"/>
                <a:lumMod val="105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287</Words>
  <Characters>1636</Characters>
  <Application>Microsoft Macintosh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</dc:creator>
  <cp:keywords/>
  <dc:description/>
  <cp:lastModifiedBy>Mc128k</cp:lastModifiedBy>
  <cp:revision>4</cp:revision>
  <dcterms:created xsi:type="dcterms:W3CDTF">2014-01-04T22:08:00Z</dcterms:created>
  <dcterms:modified xsi:type="dcterms:W3CDTF">2014-09-20T21:48:00Z</dcterms:modified>
</cp:coreProperties>
</file>